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r>
        <w:rPr>
          <w:rFonts w:hint="eastAsia" w:ascii="方正小标宋_GBK" w:hAnsi="方正小标宋_GBK" w:eastAsia="方正小标宋_GBK"/>
          <w:b w:val="0"/>
          <w:bCs w:val="0"/>
          <w:sz w:val="30"/>
          <w:lang w:val="en-US" w:eastAsia="zh-CN"/>
        </w:rPr>
        <w:t>2022年</w:t>
      </w:r>
      <w:r>
        <w:rPr>
          <w:rFonts w:hint="eastAsia" w:ascii="方正小标宋_GBK" w:hAnsi="方正小标宋_GBK" w:eastAsia="方正小标宋_GBK"/>
          <w:b w:val="0"/>
          <w:bCs w:val="0"/>
          <w:sz w:val="30"/>
        </w:rPr>
        <w:t>市政服务领域基层政务公开标准目录</w:t>
      </w:r>
    </w:p>
    <w:tbl>
      <w:tblPr>
        <w:tblStyle w:val="3"/>
        <w:tblW w:w="143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78"/>
        <w:gridCol w:w="780"/>
        <w:gridCol w:w="798"/>
        <w:gridCol w:w="1620"/>
        <w:gridCol w:w="2565"/>
        <w:gridCol w:w="1275"/>
        <w:gridCol w:w="1236"/>
        <w:gridCol w:w="1524"/>
        <w:gridCol w:w="600"/>
        <w:gridCol w:w="840"/>
        <w:gridCol w:w="615"/>
        <w:gridCol w:w="690"/>
        <w:gridCol w:w="510"/>
        <w:gridCol w:w="7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78" w:type="dxa"/>
            <w:vMerge w:val="restart"/>
            <w:vAlign w:val="center"/>
          </w:tcPr>
          <w:p>
            <w:pPr>
              <w:widowControl/>
              <w:jc w:val="center"/>
              <w:rPr>
                <w:rFonts w:ascii="仿宋_GB2312" w:hAnsi="Times New Roman" w:eastAsia="仿宋_GB2312"/>
                <w:color w:val="000000"/>
                <w:kern w:val="0"/>
                <w:sz w:val="18"/>
                <w:szCs w:val="18"/>
                <w:highlight w:val="none"/>
              </w:rPr>
            </w:pPr>
            <w:bookmarkStart w:id="0" w:name="_GoBack"/>
            <w:r>
              <w:rPr>
                <w:rFonts w:hint="eastAsia" w:ascii="黑体" w:hAnsi="宋体" w:eastAsia="黑体" w:cs="宋体"/>
                <w:kern w:val="0"/>
                <w:sz w:val="22"/>
                <w:highlight w:val="none"/>
              </w:rPr>
              <w:t>序号</w:t>
            </w:r>
          </w:p>
        </w:tc>
        <w:tc>
          <w:tcPr>
            <w:tcW w:w="1578" w:type="dxa"/>
            <w:gridSpan w:val="2"/>
            <w:vAlign w:val="center"/>
          </w:tcPr>
          <w:p>
            <w:pPr>
              <w:widowControl/>
              <w:jc w:val="center"/>
              <w:rPr>
                <w:rFonts w:ascii="黑体" w:hAnsi="宋体" w:eastAsia="黑体" w:cs="宋体"/>
                <w:kern w:val="0"/>
                <w:sz w:val="22"/>
                <w:highlight w:val="none"/>
              </w:rPr>
            </w:pPr>
            <w:r>
              <w:rPr>
                <w:rFonts w:hint="eastAsia" w:ascii="黑体" w:hAnsi="宋体" w:eastAsia="黑体" w:cs="宋体"/>
                <w:kern w:val="0"/>
                <w:sz w:val="22"/>
                <w:highlight w:val="none"/>
              </w:rPr>
              <w:t>公开事项</w:t>
            </w:r>
          </w:p>
        </w:tc>
        <w:tc>
          <w:tcPr>
            <w:tcW w:w="1620" w:type="dxa"/>
            <w:vMerge w:val="restart"/>
            <w:vAlign w:val="center"/>
          </w:tcPr>
          <w:p>
            <w:pPr>
              <w:widowControl/>
              <w:jc w:val="center"/>
              <w:rPr>
                <w:rFonts w:ascii="黑体" w:hAnsi="宋体" w:eastAsia="黑体" w:cs="宋体"/>
                <w:kern w:val="0"/>
                <w:sz w:val="22"/>
                <w:highlight w:val="none"/>
              </w:rPr>
            </w:pPr>
            <w:r>
              <w:rPr>
                <w:rFonts w:hint="eastAsia" w:ascii="黑体" w:hAnsi="宋体" w:eastAsia="黑体" w:cs="宋体"/>
                <w:kern w:val="0"/>
                <w:sz w:val="22"/>
                <w:highlight w:val="none"/>
              </w:rPr>
              <w:t>公开内容（要素）</w:t>
            </w:r>
          </w:p>
        </w:tc>
        <w:tc>
          <w:tcPr>
            <w:tcW w:w="2565" w:type="dxa"/>
            <w:vMerge w:val="restart"/>
            <w:vAlign w:val="center"/>
          </w:tcPr>
          <w:p>
            <w:pPr>
              <w:widowControl/>
              <w:jc w:val="center"/>
              <w:rPr>
                <w:rFonts w:ascii="黑体" w:hAnsi="宋体" w:eastAsia="黑体" w:cs="宋体"/>
                <w:kern w:val="0"/>
                <w:sz w:val="22"/>
                <w:highlight w:val="none"/>
              </w:rPr>
            </w:pPr>
            <w:r>
              <w:rPr>
                <w:rFonts w:hint="eastAsia" w:ascii="黑体" w:hAnsi="宋体" w:eastAsia="黑体" w:cs="宋体"/>
                <w:kern w:val="0"/>
                <w:sz w:val="22"/>
                <w:highlight w:val="none"/>
              </w:rPr>
              <w:t>公开依据</w:t>
            </w:r>
          </w:p>
        </w:tc>
        <w:tc>
          <w:tcPr>
            <w:tcW w:w="1275" w:type="dxa"/>
            <w:vMerge w:val="restart"/>
            <w:vAlign w:val="center"/>
          </w:tcPr>
          <w:p>
            <w:pPr>
              <w:widowControl/>
              <w:jc w:val="center"/>
              <w:rPr>
                <w:rFonts w:ascii="黑体" w:hAnsi="宋体" w:eastAsia="黑体" w:cs="宋体"/>
                <w:kern w:val="0"/>
                <w:sz w:val="22"/>
                <w:highlight w:val="none"/>
              </w:rPr>
            </w:pPr>
            <w:r>
              <w:rPr>
                <w:rFonts w:hint="eastAsia" w:ascii="黑体" w:hAnsi="宋体" w:eastAsia="黑体" w:cs="宋体"/>
                <w:kern w:val="0"/>
                <w:sz w:val="22"/>
                <w:highlight w:val="none"/>
              </w:rPr>
              <w:t>公开</w:t>
            </w:r>
          </w:p>
          <w:p>
            <w:pPr>
              <w:widowControl/>
              <w:jc w:val="center"/>
              <w:rPr>
                <w:rFonts w:ascii="黑体" w:hAnsi="宋体" w:eastAsia="黑体" w:cs="宋体"/>
                <w:kern w:val="0"/>
                <w:sz w:val="22"/>
                <w:highlight w:val="none"/>
              </w:rPr>
            </w:pPr>
            <w:r>
              <w:rPr>
                <w:rFonts w:hint="eastAsia" w:ascii="黑体" w:hAnsi="宋体" w:eastAsia="黑体" w:cs="宋体"/>
                <w:kern w:val="0"/>
                <w:sz w:val="22"/>
                <w:highlight w:val="none"/>
              </w:rPr>
              <w:t>时限</w:t>
            </w:r>
          </w:p>
        </w:tc>
        <w:tc>
          <w:tcPr>
            <w:tcW w:w="1236" w:type="dxa"/>
            <w:vMerge w:val="restart"/>
            <w:vAlign w:val="center"/>
          </w:tcPr>
          <w:p>
            <w:pPr>
              <w:widowControl/>
              <w:jc w:val="center"/>
              <w:rPr>
                <w:rFonts w:ascii="黑体" w:hAnsi="宋体" w:eastAsia="黑体" w:cs="宋体"/>
                <w:kern w:val="0"/>
                <w:sz w:val="22"/>
                <w:highlight w:val="none"/>
              </w:rPr>
            </w:pPr>
            <w:r>
              <w:rPr>
                <w:rFonts w:hint="eastAsia" w:ascii="黑体" w:hAnsi="宋体" w:eastAsia="黑体" w:cs="宋体"/>
                <w:kern w:val="0"/>
                <w:sz w:val="22"/>
                <w:highlight w:val="none"/>
              </w:rPr>
              <w:t>公开</w:t>
            </w:r>
          </w:p>
          <w:p>
            <w:pPr>
              <w:widowControl/>
              <w:jc w:val="center"/>
              <w:rPr>
                <w:rFonts w:ascii="黑体" w:hAnsi="宋体" w:eastAsia="黑体" w:cs="宋体"/>
                <w:kern w:val="0"/>
                <w:sz w:val="22"/>
                <w:highlight w:val="none"/>
              </w:rPr>
            </w:pPr>
            <w:r>
              <w:rPr>
                <w:rFonts w:hint="eastAsia" w:ascii="黑体" w:hAnsi="宋体" w:eastAsia="黑体" w:cs="宋体"/>
                <w:kern w:val="0"/>
                <w:sz w:val="22"/>
                <w:highlight w:val="none"/>
              </w:rPr>
              <w:t>主体</w:t>
            </w:r>
          </w:p>
        </w:tc>
        <w:tc>
          <w:tcPr>
            <w:tcW w:w="1524" w:type="dxa"/>
            <w:vMerge w:val="restart"/>
            <w:vAlign w:val="center"/>
          </w:tcPr>
          <w:p>
            <w:pPr>
              <w:widowControl/>
              <w:jc w:val="center"/>
              <w:rPr>
                <w:rFonts w:ascii="黑体" w:hAnsi="宋体" w:eastAsia="黑体" w:cs="宋体"/>
                <w:kern w:val="0"/>
                <w:sz w:val="22"/>
                <w:highlight w:val="none"/>
              </w:rPr>
            </w:pPr>
            <w:r>
              <w:rPr>
                <w:rFonts w:hint="eastAsia" w:ascii="黑体" w:hAnsi="宋体" w:eastAsia="黑体" w:cs="宋体"/>
                <w:kern w:val="0"/>
                <w:sz w:val="22"/>
                <w:highlight w:val="none"/>
              </w:rPr>
              <w:t>公开渠道和载体</w:t>
            </w:r>
          </w:p>
        </w:tc>
        <w:tc>
          <w:tcPr>
            <w:tcW w:w="1440" w:type="dxa"/>
            <w:gridSpan w:val="2"/>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公开对象</w:t>
            </w:r>
          </w:p>
        </w:tc>
        <w:tc>
          <w:tcPr>
            <w:tcW w:w="1305" w:type="dxa"/>
            <w:gridSpan w:val="2"/>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公开方式</w:t>
            </w:r>
          </w:p>
        </w:tc>
        <w:tc>
          <w:tcPr>
            <w:tcW w:w="1217" w:type="dxa"/>
            <w:gridSpan w:val="2"/>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jc w:val="center"/>
        </w:trPr>
        <w:tc>
          <w:tcPr>
            <w:tcW w:w="578" w:type="dxa"/>
            <w:vMerge w:val="continue"/>
            <w:vAlign w:val="center"/>
          </w:tcPr>
          <w:p>
            <w:pPr>
              <w:widowControl/>
              <w:jc w:val="left"/>
              <w:rPr>
                <w:rFonts w:ascii="仿宋_GB2312" w:hAnsi="Times New Roman" w:eastAsia="仿宋_GB2312"/>
                <w:color w:val="000000"/>
                <w:kern w:val="0"/>
                <w:sz w:val="18"/>
                <w:szCs w:val="18"/>
                <w:highlight w:val="none"/>
              </w:rPr>
            </w:pPr>
          </w:p>
        </w:tc>
        <w:tc>
          <w:tcPr>
            <w:tcW w:w="780" w:type="dxa"/>
            <w:vAlign w:val="center"/>
          </w:tcPr>
          <w:p>
            <w:pPr>
              <w:widowControl/>
              <w:jc w:val="center"/>
              <w:rPr>
                <w:rFonts w:ascii="黑体" w:hAnsi="宋体" w:eastAsia="黑体" w:cs="宋体"/>
                <w:kern w:val="0"/>
                <w:sz w:val="22"/>
                <w:highlight w:val="none"/>
              </w:rPr>
            </w:pPr>
            <w:r>
              <w:rPr>
                <w:rFonts w:hint="eastAsia" w:ascii="黑体" w:hAnsi="宋体" w:eastAsia="黑体" w:cs="宋体"/>
                <w:kern w:val="0"/>
                <w:sz w:val="22"/>
                <w:highlight w:val="none"/>
              </w:rPr>
              <w:t>一级事项</w:t>
            </w:r>
          </w:p>
        </w:tc>
        <w:tc>
          <w:tcPr>
            <w:tcW w:w="798" w:type="dxa"/>
            <w:vAlign w:val="center"/>
          </w:tcPr>
          <w:p>
            <w:pPr>
              <w:widowControl/>
              <w:jc w:val="center"/>
              <w:rPr>
                <w:rFonts w:ascii="黑体" w:hAnsi="宋体" w:eastAsia="黑体" w:cs="宋体"/>
                <w:kern w:val="0"/>
                <w:sz w:val="22"/>
                <w:highlight w:val="none"/>
              </w:rPr>
            </w:pPr>
            <w:r>
              <w:rPr>
                <w:rFonts w:hint="eastAsia" w:ascii="黑体" w:hAnsi="宋体" w:eastAsia="黑体" w:cs="宋体"/>
                <w:kern w:val="0"/>
                <w:sz w:val="22"/>
                <w:highlight w:val="none"/>
              </w:rPr>
              <w:t>二级事项</w:t>
            </w:r>
          </w:p>
        </w:tc>
        <w:tc>
          <w:tcPr>
            <w:tcW w:w="1620" w:type="dxa"/>
            <w:vMerge w:val="continue"/>
            <w:vAlign w:val="center"/>
          </w:tcPr>
          <w:p>
            <w:pPr>
              <w:widowControl/>
              <w:jc w:val="left"/>
              <w:rPr>
                <w:rFonts w:ascii="黑体" w:hAnsi="宋体" w:eastAsia="黑体" w:cs="宋体"/>
                <w:kern w:val="0"/>
                <w:sz w:val="22"/>
                <w:highlight w:val="none"/>
              </w:rPr>
            </w:pPr>
          </w:p>
        </w:tc>
        <w:tc>
          <w:tcPr>
            <w:tcW w:w="2565" w:type="dxa"/>
            <w:vMerge w:val="continue"/>
            <w:vAlign w:val="center"/>
          </w:tcPr>
          <w:p>
            <w:pPr>
              <w:widowControl/>
              <w:jc w:val="left"/>
              <w:rPr>
                <w:rFonts w:ascii="黑体" w:hAnsi="宋体" w:eastAsia="黑体" w:cs="宋体"/>
                <w:kern w:val="0"/>
                <w:sz w:val="22"/>
                <w:highlight w:val="none"/>
              </w:rPr>
            </w:pPr>
          </w:p>
        </w:tc>
        <w:tc>
          <w:tcPr>
            <w:tcW w:w="1275" w:type="dxa"/>
            <w:vMerge w:val="continue"/>
            <w:vAlign w:val="center"/>
          </w:tcPr>
          <w:p>
            <w:pPr>
              <w:widowControl/>
              <w:jc w:val="left"/>
              <w:rPr>
                <w:rFonts w:ascii="黑体" w:hAnsi="宋体" w:eastAsia="黑体" w:cs="宋体"/>
                <w:kern w:val="0"/>
                <w:sz w:val="22"/>
                <w:highlight w:val="none"/>
              </w:rPr>
            </w:pPr>
          </w:p>
        </w:tc>
        <w:tc>
          <w:tcPr>
            <w:tcW w:w="1236" w:type="dxa"/>
            <w:vMerge w:val="continue"/>
            <w:vAlign w:val="center"/>
          </w:tcPr>
          <w:p>
            <w:pPr>
              <w:widowControl/>
              <w:jc w:val="left"/>
              <w:rPr>
                <w:rFonts w:ascii="黑体" w:hAnsi="宋体" w:eastAsia="黑体" w:cs="宋体"/>
                <w:kern w:val="0"/>
                <w:sz w:val="22"/>
                <w:highlight w:val="none"/>
              </w:rPr>
            </w:pPr>
          </w:p>
        </w:tc>
        <w:tc>
          <w:tcPr>
            <w:tcW w:w="1524" w:type="dxa"/>
            <w:vMerge w:val="continue"/>
            <w:vAlign w:val="center"/>
          </w:tcPr>
          <w:p>
            <w:pPr>
              <w:widowControl/>
              <w:jc w:val="left"/>
              <w:rPr>
                <w:rFonts w:ascii="黑体" w:hAnsi="宋体" w:eastAsia="黑体" w:cs="宋体"/>
                <w:kern w:val="0"/>
                <w:sz w:val="22"/>
                <w:highlight w:val="none"/>
              </w:rPr>
            </w:pPr>
          </w:p>
        </w:tc>
        <w:tc>
          <w:tcPr>
            <w:tcW w:w="600" w:type="dxa"/>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全社会</w:t>
            </w:r>
          </w:p>
        </w:tc>
        <w:tc>
          <w:tcPr>
            <w:tcW w:w="840" w:type="dxa"/>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特定</w:t>
            </w:r>
          </w:p>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群众</w:t>
            </w:r>
          </w:p>
        </w:tc>
        <w:tc>
          <w:tcPr>
            <w:tcW w:w="615" w:type="dxa"/>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主动</w:t>
            </w:r>
          </w:p>
        </w:tc>
        <w:tc>
          <w:tcPr>
            <w:tcW w:w="690" w:type="dxa"/>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依申请公开</w:t>
            </w:r>
          </w:p>
        </w:tc>
        <w:tc>
          <w:tcPr>
            <w:tcW w:w="510" w:type="dxa"/>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县级</w:t>
            </w:r>
          </w:p>
        </w:tc>
        <w:tc>
          <w:tcPr>
            <w:tcW w:w="707" w:type="dxa"/>
            <w:vAlign w:val="center"/>
          </w:tcPr>
          <w:p>
            <w:pPr>
              <w:widowControl/>
              <w:jc w:val="center"/>
              <w:rPr>
                <w:rFonts w:ascii="黑体" w:hAnsi="宋体" w:eastAsia="黑体" w:cs="宋体"/>
                <w:color w:val="000000"/>
                <w:kern w:val="0"/>
                <w:sz w:val="22"/>
                <w:highlight w:val="none"/>
              </w:rPr>
            </w:pPr>
            <w:r>
              <w:rPr>
                <w:rFonts w:hint="eastAsia" w:ascii="黑体" w:hAnsi="宋体" w:eastAsia="黑体" w:cs="宋体"/>
                <w:color w:val="000000"/>
                <w:kern w:val="0"/>
                <w:sz w:val="22"/>
                <w:highlight w:val="none"/>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31" w:hRule="atLeast"/>
          <w:jc w:val="center"/>
        </w:trPr>
        <w:tc>
          <w:tcPr>
            <w:tcW w:w="578" w:type="dxa"/>
            <w:vAlign w:val="center"/>
          </w:tcPr>
          <w:p>
            <w:pPr>
              <w:jc w:val="center"/>
              <w:rPr>
                <w:rFonts w:ascii="仿宋_GB2312" w:hAnsi="宋体" w:eastAsia="仿宋_GB2312" w:cs="宋体"/>
                <w:sz w:val="18"/>
                <w:szCs w:val="18"/>
                <w:highlight w:val="none"/>
              </w:rPr>
            </w:pPr>
            <w:r>
              <w:rPr>
                <w:rFonts w:hint="eastAsia" w:ascii="仿宋_GB2312" w:eastAsia="仿宋_GB2312"/>
                <w:sz w:val="18"/>
                <w:szCs w:val="18"/>
                <w:highlight w:val="none"/>
              </w:rPr>
              <w:t>1</w:t>
            </w:r>
          </w:p>
        </w:tc>
        <w:tc>
          <w:tcPr>
            <w:tcW w:w="780" w:type="dxa"/>
            <w:vMerge w:val="restart"/>
            <w:vAlign w:val="center"/>
          </w:tcPr>
          <w:p>
            <w:pPr>
              <w:jc w:val="center"/>
              <w:rPr>
                <w:rFonts w:ascii="仿宋_GB2312" w:hAnsi="宋体" w:eastAsia="仿宋_GB2312" w:cs="宋体"/>
                <w:sz w:val="18"/>
                <w:szCs w:val="18"/>
                <w:highlight w:val="none"/>
              </w:rPr>
            </w:pPr>
            <w:r>
              <w:rPr>
                <w:rFonts w:hint="eastAsia" w:ascii="仿宋_GB2312" w:hAnsi="宋体" w:eastAsia="仿宋_GB2312"/>
                <w:sz w:val="18"/>
                <w:szCs w:val="18"/>
                <w:highlight w:val="none"/>
              </w:rPr>
              <w:t>城镇燃气管理</w:t>
            </w:r>
          </w:p>
        </w:tc>
        <w:tc>
          <w:tcPr>
            <w:tcW w:w="798" w:type="dxa"/>
            <w:vAlign w:val="center"/>
          </w:tcPr>
          <w:p>
            <w:pPr>
              <w:rPr>
                <w:rFonts w:ascii="仿宋_GB2312" w:hAnsi="宋体" w:eastAsia="仿宋_GB2312" w:cs="宋体"/>
                <w:sz w:val="18"/>
                <w:szCs w:val="18"/>
                <w:highlight w:val="none"/>
              </w:rPr>
            </w:pPr>
            <w:r>
              <w:rPr>
                <w:rFonts w:hint="eastAsia" w:ascii="仿宋_GB2312" w:hAnsi="宋体" w:eastAsia="仿宋_GB2312"/>
                <w:sz w:val="18"/>
                <w:szCs w:val="18"/>
                <w:highlight w:val="none"/>
              </w:rPr>
              <w:t>燃气经营许可</w:t>
            </w:r>
          </w:p>
        </w:tc>
        <w:tc>
          <w:tcPr>
            <w:tcW w:w="1620" w:type="dxa"/>
            <w:vAlign w:val="center"/>
          </w:tcPr>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申请条件、</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申请材料、</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申请流程、</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法定依据</w:t>
            </w:r>
          </w:p>
        </w:tc>
        <w:tc>
          <w:tcPr>
            <w:tcW w:w="2565" w:type="dxa"/>
            <w:vAlign w:val="center"/>
          </w:tcPr>
          <w:p>
            <w:pPr>
              <w:rPr>
                <w:rFonts w:ascii="仿宋_GB2312" w:hAnsi="宋体" w:eastAsia="仿宋_GB2312" w:cs="宋体"/>
                <w:sz w:val="18"/>
                <w:szCs w:val="18"/>
                <w:highlight w:val="none"/>
              </w:rPr>
            </w:pPr>
            <w:r>
              <w:rPr>
                <w:rFonts w:hint="eastAsia" w:ascii="仿宋_GB2312" w:hAnsi="宋体" w:eastAsia="仿宋_GB2312"/>
                <w:sz w:val="18"/>
                <w:szCs w:val="18"/>
                <w:highlight w:val="none"/>
              </w:rPr>
              <w:t>《城镇燃气管理条例》</w:t>
            </w:r>
          </w:p>
        </w:tc>
        <w:tc>
          <w:tcPr>
            <w:tcW w:w="1275" w:type="dxa"/>
            <w:vAlign w:val="center"/>
          </w:tcPr>
          <w:p>
            <w:pPr>
              <w:jc w:val="center"/>
              <w:rPr>
                <w:rFonts w:ascii="仿宋_GB2312" w:hAnsi="宋体" w:eastAsia="仿宋_GB2312"/>
                <w:sz w:val="18"/>
                <w:szCs w:val="18"/>
                <w:highlight w:val="none"/>
              </w:rPr>
            </w:pPr>
            <w:r>
              <w:rPr>
                <w:rFonts w:hint="eastAsia" w:ascii="仿宋_GB2312" w:hAnsi="仿宋" w:eastAsia="仿宋_GB2312"/>
                <w:color w:val="000000"/>
                <w:sz w:val="18"/>
                <w:szCs w:val="18"/>
                <w:highlight w:val="none"/>
              </w:rPr>
              <w:t>信息形成或者变更之日起20个工作日内</w:t>
            </w:r>
            <w:r>
              <w:rPr>
                <w:rFonts w:hint="eastAsia" w:ascii="仿宋_GB2312" w:hAnsi="仿宋" w:eastAsia="仿宋_GB2312"/>
                <w:color w:val="000000"/>
                <w:sz w:val="18"/>
                <w:szCs w:val="18"/>
                <w:highlight w:val="none"/>
                <w:lang w:eastAsia="zh-CN"/>
              </w:rPr>
              <w:t>，</w:t>
            </w:r>
            <w:r>
              <w:rPr>
                <w:rFonts w:hint="eastAsia" w:ascii="仿宋_GB2312" w:hAnsi="Times New Roman" w:eastAsia="仿宋_GB2312"/>
                <w:color w:val="auto"/>
                <w:sz w:val="18"/>
                <w:szCs w:val="18"/>
                <w:highlight w:val="none"/>
              </w:rPr>
              <w:t>其中行政许可事项应自作出行政决定之日起7个工作日内公示</w:t>
            </w:r>
          </w:p>
        </w:tc>
        <w:tc>
          <w:tcPr>
            <w:tcW w:w="1236" w:type="dxa"/>
            <w:vAlign w:val="center"/>
          </w:tcPr>
          <w:p>
            <w:pPr>
              <w:rPr>
                <w:rFonts w:hint="eastAsia" w:ascii="仿宋_GB2312" w:hAnsi="宋体" w:eastAsia="仿宋_GB2312"/>
                <w:sz w:val="18"/>
                <w:szCs w:val="18"/>
                <w:highlight w:val="none"/>
                <w:lang w:eastAsia="zh-CN"/>
              </w:rPr>
            </w:pPr>
            <w:r>
              <w:rPr>
                <w:rFonts w:hint="eastAsia" w:ascii="仿宋_GB2312" w:hAnsi="宋体" w:eastAsia="仿宋_GB2312"/>
                <w:sz w:val="18"/>
                <w:szCs w:val="18"/>
                <w:highlight w:val="none"/>
              </w:rPr>
              <w:t>柳城县</w:t>
            </w:r>
            <w:r>
              <w:rPr>
                <w:rFonts w:hint="eastAsia" w:ascii="仿宋_GB2312" w:hAnsi="宋体" w:eastAsia="仿宋_GB2312"/>
                <w:sz w:val="18"/>
                <w:szCs w:val="18"/>
                <w:highlight w:val="none"/>
                <w:lang w:eastAsia="zh-CN"/>
              </w:rPr>
              <w:t>行政审批局</w:t>
            </w:r>
          </w:p>
        </w:tc>
        <w:tc>
          <w:tcPr>
            <w:tcW w:w="1524" w:type="dxa"/>
            <w:vMerge w:val="restart"/>
            <w:vAlign w:val="center"/>
          </w:tcPr>
          <w:p>
            <w:pPr>
              <w:rPr>
                <w:rFonts w:ascii="仿宋_GB2312" w:hAnsi="宋体" w:eastAsia="仿宋_GB2312"/>
                <w:sz w:val="18"/>
                <w:szCs w:val="18"/>
                <w:highlight w:val="none"/>
              </w:rPr>
            </w:pPr>
            <w:r>
              <w:rPr>
                <w:rFonts w:ascii="仿宋_GB2312" w:hAnsi="宋体" w:eastAsia="仿宋_GB2312"/>
                <w:sz w:val="18"/>
                <w:szCs w:val="18"/>
                <w:highlight w:val="none"/>
              </w:rPr>
              <w:t></w:t>
            </w:r>
          </w:p>
          <w:p>
            <w:pPr>
              <w:rPr>
                <w:rFonts w:ascii="仿宋_GB2312" w:hAnsi="宋体" w:eastAsia="仿宋_GB2312"/>
                <w:sz w:val="18"/>
                <w:szCs w:val="18"/>
                <w:highlight w:val="none"/>
              </w:rPr>
            </w:pPr>
            <w:r>
              <w:rPr>
                <w:rFonts w:hint="eastAsia" w:ascii="仿宋_GB2312" w:hAnsi="宋体" w:eastAsia="仿宋_GB2312"/>
                <w:sz w:val="18"/>
                <w:szCs w:val="18"/>
                <w:highlight w:val="none"/>
              </w:rPr>
              <w:t>■政府门户网站</w:t>
            </w:r>
          </w:p>
          <w:p>
            <w:pPr>
              <w:rPr>
                <w:rFonts w:hint="eastAsia" w:ascii="仿宋_GB2312" w:hAnsi="宋体" w:eastAsia="仿宋_GB2312"/>
                <w:sz w:val="18"/>
                <w:szCs w:val="18"/>
                <w:highlight w:val="none"/>
              </w:rPr>
            </w:pPr>
            <w:r>
              <w:rPr>
                <w:rFonts w:hint="eastAsia" w:ascii="仿宋_GB2312" w:hAnsi="宋体" w:eastAsia="仿宋_GB2312"/>
                <w:sz w:val="18"/>
                <w:szCs w:val="18"/>
                <w:highlight w:val="none"/>
              </w:rPr>
              <w:t>■公开查询点</w:t>
            </w:r>
          </w:p>
          <w:p>
            <w:pPr>
              <w:rPr>
                <w:rFonts w:ascii="仿宋_GB2312" w:hAnsi="宋体" w:eastAsia="仿宋_GB2312"/>
                <w:sz w:val="18"/>
                <w:szCs w:val="18"/>
                <w:highlight w:val="none"/>
              </w:rPr>
            </w:pPr>
          </w:p>
        </w:tc>
        <w:tc>
          <w:tcPr>
            <w:tcW w:w="60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84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　</w:t>
            </w:r>
          </w:p>
        </w:tc>
        <w:tc>
          <w:tcPr>
            <w:tcW w:w="615"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69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　</w:t>
            </w:r>
          </w:p>
        </w:tc>
        <w:tc>
          <w:tcPr>
            <w:tcW w:w="51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707" w:type="dxa"/>
            <w:vAlign w:val="center"/>
          </w:tcPr>
          <w:p>
            <w:pPr>
              <w:jc w:val="center"/>
              <w:rPr>
                <w:rFonts w:ascii="仿宋_GB2312" w:hAnsi="宋体" w:eastAsia="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06" w:hRule="atLeast"/>
          <w:jc w:val="center"/>
        </w:trPr>
        <w:tc>
          <w:tcPr>
            <w:tcW w:w="578" w:type="dxa"/>
            <w:vAlign w:val="center"/>
          </w:tcPr>
          <w:p>
            <w:pPr>
              <w:rPr>
                <w:highlight w:val="none"/>
              </w:rPr>
            </w:pPr>
            <w:r>
              <w:rPr>
                <w:rFonts w:hint="eastAsia" w:ascii="仿宋_GB2312" w:eastAsia="仿宋_GB2312"/>
                <w:sz w:val="18"/>
                <w:szCs w:val="18"/>
                <w:highlight w:val="none"/>
              </w:rPr>
              <w:t>2</w:t>
            </w:r>
          </w:p>
        </w:tc>
        <w:tc>
          <w:tcPr>
            <w:tcW w:w="780" w:type="dxa"/>
            <w:vMerge w:val="continue"/>
            <w:vAlign w:val="center"/>
          </w:tcPr>
          <w:p>
            <w:pPr>
              <w:rPr>
                <w:highlight w:val="none"/>
              </w:rPr>
            </w:pPr>
          </w:p>
        </w:tc>
        <w:tc>
          <w:tcPr>
            <w:tcW w:w="798"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燃气经营者</w:t>
            </w:r>
            <w:r>
              <w:rPr>
                <w:rFonts w:hint="eastAsia" w:ascii="仿宋_GB2312" w:hAnsi="宋体" w:eastAsia="仿宋_GB2312"/>
                <w:sz w:val="18"/>
                <w:szCs w:val="18"/>
                <w:highlight w:val="none"/>
                <w:lang w:eastAsia="zh-CN"/>
              </w:rPr>
              <w:t>改</w:t>
            </w:r>
            <w:r>
              <w:rPr>
                <w:rFonts w:hint="eastAsia" w:ascii="仿宋_GB2312" w:hAnsi="宋体" w:eastAsia="仿宋_GB2312"/>
                <w:sz w:val="18"/>
                <w:szCs w:val="18"/>
                <w:highlight w:val="none"/>
              </w:rPr>
              <w:t xml:space="preserve"> 动市政燃气设施审批</w:t>
            </w:r>
          </w:p>
        </w:tc>
        <w:tc>
          <w:tcPr>
            <w:tcW w:w="1620" w:type="dxa"/>
            <w:vAlign w:val="center"/>
          </w:tcPr>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申请条件、</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申请材料、</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申请流程、</w:t>
            </w:r>
          </w:p>
          <w:p>
            <w:pPr>
              <w:rPr>
                <w:rFonts w:ascii="仿宋_GB2312" w:hAnsi="宋体" w:eastAsia="仿宋_GB2312"/>
                <w:sz w:val="18"/>
                <w:szCs w:val="18"/>
                <w:highlight w:val="none"/>
              </w:rPr>
            </w:pPr>
            <w:r>
              <w:rPr>
                <w:rFonts w:hint="eastAsia" w:ascii="仿宋_GB2312" w:hAnsi="宋体" w:eastAsia="仿宋_GB2312"/>
                <w:sz w:val="18"/>
                <w:szCs w:val="18"/>
                <w:highlight w:val="none"/>
              </w:rPr>
              <w:t>法定依据</w:t>
            </w:r>
          </w:p>
        </w:tc>
        <w:tc>
          <w:tcPr>
            <w:tcW w:w="2565"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《城镇燃气管理条例》</w:t>
            </w:r>
            <w:r>
              <w:rPr>
                <w:rFonts w:hint="eastAsia" w:ascii="仿宋_GB2312" w:hAnsi="宋体" w:eastAsia="仿宋_GB2312"/>
                <w:sz w:val="18"/>
                <w:szCs w:val="18"/>
                <w:highlight w:val="none"/>
                <w:lang w:eastAsia="zh-CN"/>
              </w:rPr>
              <w:t>、</w:t>
            </w:r>
            <w:r>
              <w:rPr>
                <w:rFonts w:hint="eastAsia" w:ascii="仿宋_GB2312" w:hAnsi="宋体" w:eastAsia="仿宋_GB2312"/>
                <w:sz w:val="18"/>
                <w:szCs w:val="18"/>
                <w:highlight w:val="none"/>
              </w:rPr>
              <w:t>《国务院关于第六批取消和调整行政审批项目的决定》（国发〔2012〕52号）</w:t>
            </w:r>
          </w:p>
        </w:tc>
        <w:tc>
          <w:tcPr>
            <w:tcW w:w="1275" w:type="dxa"/>
            <w:vAlign w:val="center"/>
          </w:tcPr>
          <w:p>
            <w:pPr>
              <w:jc w:val="center"/>
              <w:rPr>
                <w:rFonts w:ascii="仿宋_GB2312" w:hAnsi="宋体" w:eastAsia="仿宋_GB2312"/>
                <w:sz w:val="18"/>
                <w:szCs w:val="18"/>
                <w:highlight w:val="none"/>
              </w:rPr>
            </w:pPr>
            <w:r>
              <w:rPr>
                <w:rFonts w:hint="eastAsia" w:ascii="仿宋_GB2312" w:hAnsi="仿宋" w:eastAsia="仿宋_GB2312"/>
                <w:color w:val="000000"/>
                <w:sz w:val="18"/>
                <w:szCs w:val="18"/>
                <w:highlight w:val="none"/>
              </w:rPr>
              <w:t>信息形成或者变更之日起20个工作日内</w:t>
            </w:r>
            <w:r>
              <w:rPr>
                <w:rFonts w:hint="eastAsia" w:ascii="仿宋_GB2312" w:hAnsi="仿宋" w:eastAsia="仿宋_GB2312"/>
                <w:color w:val="000000"/>
                <w:sz w:val="18"/>
                <w:szCs w:val="18"/>
                <w:highlight w:val="none"/>
                <w:lang w:eastAsia="zh-CN"/>
              </w:rPr>
              <w:t>，</w:t>
            </w:r>
            <w:r>
              <w:rPr>
                <w:rFonts w:hint="eastAsia" w:ascii="仿宋_GB2312" w:hAnsi="Times New Roman" w:eastAsia="仿宋_GB2312"/>
                <w:color w:val="auto"/>
                <w:sz w:val="18"/>
                <w:szCs w:val="18"/>
                <w:highlight w:val="none"/>
              </w:rPr>
              <w:t>其中行政许可事项应自作出行政决定之日起7个工作日内公示</w:t>
            </w:r>
          </w:p>
        </w:tc>
        <w:tc>
          <w:tcPr>
            <w:tcW w:w="1236" w:type="dxa"/>
            <w:vAlign w:val="center"/>
          </w:tcPr>
          <w:p>
            <w:pPr>
              <w:rPr>
                <w:rFonts w:hint="eastAsia" w:ascii="仿宋_GB2312" w:hAnsi="宋体" w:eastAsia="仿宋_GB2312"/>
                <w:sz w:val="18"/>
                <w:szCs w:val="18"/>
                <w:highlight w:val="none"/>
                <w:lang w:eastAsia="zh-CN"/>
              </w:rPr>
            </w:pPr>
            <w:r>
              <w:rPr>
                <w:rFonts w:hint="eastAsia" w:ascii="仿宋_GB2312" w:hAnsi="宋体" w:eastAsia="仿宋_GB2312"/>
                <w:sz w:val="18"/>
                <w:szCs w:val="18"/>
                <w:highlight w:val="none"/>
              </w:rPr>
              <w:t>柳城县</w:t>
            </w:r>
            <w:r>
              <w:rPr>
                <w:rFonts w:hint="eastAsia" w:ascii="仿宋_GB2312" w:hAnsi="宋体" w:eastAsia="仿宋_GB2312"/>
                <w:sz w:val="18"/>
                <w:szCs w:val="18"/>
                <w:highlight w:val="none"/>
                <w:lang w:eastAsia="zh-CN"/>
              </w:rPr>
              <w:t>行政审批局</w:t>
            </w:r>
          </w:p>
        </w:tc>
        <w:tc>
          <w:tcPr>
            <w:tcW w:w="1524" w:type="dxa"/>
            <w:vMerge w:val="continue"/>
            <w:vAlign w:val="center"/>
          </w:tcPr>
          <w:p>
            <w:pPr>
              <w:rPr>
                <w:rFonts w:ascii="仿宋_GB2312" w:hAnsi="宋体" w:eastAsia="仿宋_GB2312"/>
                <w:sz w:val="18"/>
                <w:szCs w:val="18"/>
                <w:highlight w:val="none"/>
              </w:rPr>
            </w:pPr>
          </w:p>
        </w:tc>
        <w:tc>
          <w:tcPr>
            <w:tcW w:w="60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84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　</w:t>
            </w:r>
          </w:p>
        </w:tc>
        <w:tc>
          <w:tcPr>
            <w:tcW w:w="615"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69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　</w:t>
            </w:r>
          </w:p>
        </w:tc>
        <w:tc>
          <w:tcPr>
            <w:tcW w:w="51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707" w:type="dxa"/>
            <w:vAlign w:val="center"/>
          </w:tcPr>
          <w:p>
            <w:pPr>
              <w:rPr>
                <w:rFonts w:ascii="仿宋_GB2312" w:hAnsi="宋体" w:eastAsia="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859" w:hRule="atLeast"/>
          <w:jc w:val="center"/>
        </w:trPr>
        <w:tc>
          <w:tcPr>
            <w:tcW w:w="578" w:type="dxa"/>
            <w:vAlign w:val="center"/>
          </w:tcPr>
          <w:p>
            <w:pPr>
              <w:jc w:val="center"/>
              <w:rPr>
                <w:rFonts w:ascii="仿宋_GB2312" w:eastAsia="仿宋_GB2312"/>
                <w:sz w:val="18"/>
                <w:szCs w:val="18"/>
                <w:highlight w:val="none"/>
              </w:rPr>
            </w:pPr>
            <w:r>
              <w:rPr>
                <w:rFonts w:hint="eastAsia" w:ascii="仿宋_GB2312" w:eastAsia="仿宋_GB2312"/>
                <w:sz w:val="18"/>
                <w:szCs w:val="18"/>
                <w:highlight w:val="none"/>
              </w:rPr>
              <w:t>3</w:t>
            </w:r>
          </w:p>
          <w:p>
            <w:pPr>
              <w:rPr>
                <w:rFonts w:ascii="仿宋_GB2312" w:hAnsi="宋体" w:eastAsia="仿宋_GB2312"/>
                <w:sz w:val="18"/>
                <w:szCs w:val="18"/>
                <w:highlight w:val="none"/>
              </w:rPr>
            </w:pPr>
          </w:p>
        </w:tc>
        <w:tc>
          <w:tcPr>
            <w:tcW w:w="78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市政设施建设类审批　</w:t>
            </w:r>
          </w:p>
        </w:tc>
        <w:tc>
          <w:tcPr>
            <w:tcW w:w="798"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市政设施建设类审批</w:t>
            </w:r>
          </w:p>
        </w:tc>
        <w:tc>
          <w:tcPr>
            <w:tcW w:w="1620" w:type="dxa"/>
            <w:vAlign w:val="center"/>
          </w:tcPr>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申请条件、</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申请材料、</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申请流程、</w:t>
            </w:r>
          </w:p>
          <w:p>
            <w:pPr>
              <w:rPr>
                <w:rFonts w:ascii="仿宋_GB2312" w:hAnsi="宋体" w:eastAsia="仿宋_GB2312" w:cs="宋体"/>
                <w:sz w:val="18"/>
                <w:szCs w:val="18"/>
                <w:highlight w:val="none"/>
              </w:rPr>
            </w:pPr>
            <w:r>
              <w:rPr>
                <w:rFonts w:hint="eastAsia" w:ascii="仿宋_GB2312" w:hAnsi="宋体" w:eastAsia="仿宋_GB2312"/>
                <w:sz w:val="18"/>
                <w:szCs w:val="18"/>
                <w:highlight w:val="none"/>
              </w:rPr>
              <w:t>法定依据</w:t>
            </w:r>
          </w:p>
        </w:tc>
        <w:tc>
          <w:tcPr>
            <w:tcW w:w="2565"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《城市道路管理条例》</w:t>
            </w:r>
          </w:p>
        </w:tc>
        <w:tc>
          <w:tcPr>
            <w:tcW w:w="1275" w:type="dxa"/>
            <w:vAlign w:val="center"/>
          </w:tcPr>
          <w:p>
            <w:pPr>
              <w:jc w:val="center"/>
              <w:rPr>
                <w:rFonts w:ascii="仿宋_GB2312" w:hAnsi="宋体" w:eastAsia="仿宋_GB2312"/>
                <w:sz w:val="18"/>
                <w:szCs w:val="18"/>
                <w:highlight w:val="none"/>
              </w:rPr>
            </w:pPr>
            <w:r>
              <w:rPr>
                <w:rFonts w:hint="eastAsia" w:ascii="仿宋_GB2312" w:hAnsi="仿宋" w:eastAsia="仿宋_GB2312"/>
                <w:color w:val="000000"/>
                <w:sz w:val="18"/>
                <w:szCs w:val="18"/>
                <w:highlight w:val="none"/>
              </w:rPr>
              <w:t>信息形成或者变更之日起20个工作日内</w:t>
            </w:r>
            <w:r>
              <w:rPr>
                <w:rFonts w:hint="eastAsia" w:ascii="仿宋_GB2312" w:hAnsi="仿宋" w:eastAsia="仿宋_GB2312"/>
                <w:color w:val="000000"/>
                <w:sz w:val="18"/>
                <w:szCs w:val="18"/>
                <w:highlight w:val="none"/>
                <w:lang w:eastAsia="zh-CN"/>
              </w:rPr>
              <w:t>，</w:t>
            </w:r>
            <w:r>
              <w:rPr>
                <w:rFonts w:hint="eastAsia" w:ascii="仿宋_GB2312" w:hAnsi="Times New Roman" w:eastAsia="仿宋_GB2312"/>
                <w:color w:val="auto"/>
                <w:sz w:val="18"/>
                <w:szCs w:val="18"/>
                <w:highlight w:val="none"/>
              </w:rPr>
              <w:t>其中行政许可事项应自作出行政决定之日起7个工作日内公示</w:t>
            </w:r>
          </w:p>
        </w:tc>
        <w:tc>
          <w:tcPr>
            <w:tcW w:w="1236" w:type="dxa"/>
            <w:vAlign w:val="center"/>
          </w:tcPr>
          <w:p>
            <w:pPr>
              <w:rPr>
                <w:rFonts w:hint="eastAsia" w:ascii="仿宋_GB2312" w:hAnsi="宋体" w:eastAsia="仿宋_GB2312"/>
                <w:sz w:val="18"/>
                <w:szCs w:val="18"/>
                <w:highlight w:val="none"/>
                <w:lang w:eastAsia="zh-CN"/>
              </w:rPr>
            </w:pPr>
            <w:r>
              <w:rPr>
                <w:rFonts w:hint="eastAsia" w:ascii="仿宋_GB2312" w:hAnsi="宋体" w:eastAsia="仿宋_GB2312"/>
                <w:sz w:val="18"/>
                <w:szCs w:val="18"/>
                <w:highlight w:val="none"/>
              </w:rPr>
              <w:t>柳城县</w:t>
            </w:r>
            <w:r>
              <w:rPr>
                <w:rFonts w:hint="eastAsia" w:ascii="仿宋_GB2312" w:hAnsi="宋体" w:eastAsia="仿宋_GB2312"/>
                <w:sz w:val="18"/>
                <w:szCs w:val="18"/>
                <w:highlight w:val="none"/>
                <w:lang w:eastAsia="zh-CN"/>
              </w:rPr>
              <w:t>行政审批局</w:t>
            </w:r>
          </w:p>
        </w:tc>
        <w:tc>
          <w:tcPr>
            <w:tcW w:w="1524"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■政府门户网站</w:t>
            </w:r>
          </w:p>
          <w:p>
            <w:pPr>
              <w:rPr>
                <w:rFonts w:ascii="仿宋_GB2312" w:hAnsi="宋体" w:eastAsia="仿宋_GB2312"/>
                <w:sz w:val="18"/>
                <w:szCs w:val="18"/>
                <w:highlight w:val="none"/>
              </w:rPr>
            </w:pPr>
            <w:r>
              <w:rPr>
                <w:rFonts w:hint="eastAsia" w:ascii="仿宋_GB2312" w:hAnsi="宋体" w:eastAsia="仿宋_GB2312"/>
                <w:sz w:val="18"/>
                <w:szCs w:val="18"/>
                <w:highlight w:val="none"/>
              </w:rPr>
              <w:t>■公开查询点</w:t>
            </w:r>
          </w:p>
        </w:tc>
        <w:tc>
          <w:tcPr>
            <w:tcW w:w="60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84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　</w:t>
            </w:r>
          </w:p>
        </w:tc>
        <w:tc>
          <w:tcPr>
            <w:tcW w:w="615"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69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　</w:t>
            </w:r>
          </w:p>
        </w:tc>
        <w:tc>
          <w:tcPr>
            <w:tcW w:w="51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707" w:type="dxa"/>
            <w:vAlign w:val="center"/>
          </w:tcPr>
          <w:p>
            <w:pPr>
              <w:jc w:val="center"/>
              <w:rPr>
                <w:rFonts w:ascii="仿宋_GB2312" w:hAnsi="宋体" w:eastAsia="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766" w:hRule="atLeast"/>
          <w:jc w:val="center"/>
        </w:trPr>
        <w:tc>
          <w:tcPr>
            <w:tcW w:w="578" w:type="dxa"/>
            <w:vAlign w:val="center"/>
          </w:tcPr>
          <w:p>
            <w:pPr>
              <w:jc w:val="center"/>
              <w:rPr>
                <w:rFonts w:ascii="仿宋_GB2312" w:hAnsi="宋体" w:eastAsia="仿宋_GB2312" w:cs="宋体"/>
                <w:sz w:val="18"/>
                <w:szCs w:val="18"/>
                <w:highlight w:val="none"/>
              </w:rPr>
            </w:pPr>
            <w:r>
              <w:rPr>
                <w:rFonts w:hint="eastAsia" w:ascii="仿宋_GB2312" w:eastAsia="仿宋_GB2312"/>
                <w:sz w:val="18"/>
                <w:szCs w:val="18"/>
                <w:highlight w:val="none"/>
              </w:rPr>
              <w:t>4</w:t>
            </w:r>
          </w:p>
        </w:tc>
        <w:tc>
          <w:tcPr>
            <w:tcW w:w="780" w:type="dxa"/>
            <w:vAlign w:val="center"/>
          </w:tcPr>
          <w:p>
            <w:pPr>
              <w:rPr>
                <w:rFonts w:ascii="仿宋_GB2312" w:hAnsi="宋体" w:eastAsia="仿宋_GB2312"/>
                <w:sz w:val="18"/>
                <w:szCs w:val="18"/>
                <w:highlight w:val="none"/>
              </w:rPr>
            </w:pPr>
          </w:p>
          <w:p>
            <w:pPr>
              <w:rPr>
                <w:rFonts w:ascii="仿宋_GB2312" w:hAnsi="宋体" w:eastAsia="仿宋_GB2312"/>
                <w:sz w:val="18"/>
                <w:szCs w:val="18"/>
                <w:highlight w:val="none"/>
              </w:rPr>
            </w:pPr>
          </w:p>
        </w:tc>
        <w:tc>
          <w:tcPr>
            <w:tcW w:w="798"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特殊车辆在城市道路上行驶审批</w:t>
            </w:r>
          </w:p>
        </w:tc>
        <w:tc>
          <w:tcPr>
            <w:tcW w:w="1620" w:type="dxa"/>
            <w:vAlign w:val="center"/>
          </w:tcPr>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申请条件、</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申请材料、</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申请流程、</w:t>
            </w:r>
          </w:p>
          <w:p>
            <w:pPr>
              <w:rPr>
                <w:rFonts w:ascii="仿宋_GB2312" w:hAnsi="宋体" w:eastAsia="仿宋_GB2312" w:cs="宋体"/>
                <w:sz w:val="18"/>
                <w:szCs w:val="18"/>
                <w:highlight w:val="none"/>
              </w:rPr>
            </w:pPr>
            <w:r>
              <w:rPr>
                <w:rFonts w:hint="eastAsia" w:ascii="仿宋_GB2312" w:hAnsi="宋体" w:eastAsia="仿宋_GB2312"/>
                <w:sz w:val="18"/>
                <w:szCs w:val="18"/>
                <w:highlight w:val="none"/>
              </w:rPr>
              <w:t>法定依据</w:t>
            </w:r>
          </w:p>
        </w:tc>
        <w:tc>
          <w:tcPr>
            <w:tcW w:w="2565"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《城市道路管理条例》</w:t>
            </w:r>
          </w:p>
        </w:tc>
        <w:tc>
          <w:tcPr>
            <w:tcW w:w="1275" w:type="dxa"/>
            <w:vAlign w:val="center"/>
          </w:tcPr>
          <w:p>
            <w:pPr>
              <w:jc w:val="center"/>
              <w:rPr>
                <w:rFonts w:ascii="仿宋_GB2312" w:hAnsi="宋体" w:eastAsia="仿宋_GB2312"/>
                <w:sz w:val="18"/>
                <w:szCs w:val="18"/>
                <w:highlight w:val="none"/>
              </w:rPr>
            </w:pPr>
            <w:r>
              <w:rPr>
                <w:rFonts w:hint="eastAsia" w:ascii="仿宋_GB2312" w:hAnsi="仿宋" w:eastAsia="仿宋_GB2312"/>
                <w:color w:val="000000"/>
                <w:sz w:val="18"/>
                <w:szCs w:val="18"/>
                <w:highlight w:val="none"/>
              </w:rPr>
              <w:t>信息形成或者变更之日起20个工作日内</w:t>
            </w:r>
            <w:r>
              <w:rPr>
                <w:rFonts w:hint="eastAsia" w:ascii="仿宋_GB2312" w:hAnsi="仿宋" w:eastAsia="仿宋_GB2312"/>
                <w:color w:val="000000"/>
                <w:sz w:val="18"/>
                <w:szCs w:val="18"/>
                <w:highlight w:val="none"/>
                <w:lang w:eastAsia="zh-CN"/>
              </w:rPr>
              <w:t>，</w:t>
            </w:r>
            <w:r>
              <w:rPr>
                <w:rFonts w:hint="eastAsia" w:ascii="仿宋_GB2312" w:hAnsi="Times New Roman" w:eastAsia="仿宋_GB2312"/>
                <w:color w:val="auto"/>
                <w:sz w:val="18"/>
                <w:szCs w:val="18"/>
                <w:highlight w:val="none"/>
              </w:rPr>
              <w:t>其中行政许可事项应自作出行政决定之日起7个工作日内公示</w:t>
            </w:r>
          </w:p>
        </w:tc>
        <w:tc>
          <w:tcPr>
            <w:tcW w:w="1236" w:type="dxa"/>
            <w:vAlign w:val="center"/>
          </w:tcPr>
          <w:p>
            <w:pPr>
              <w:rPr>
                <w:rFonts w:hint="eastAsia" w:ascii="仿宋_GB2312" w:hAnsi="宋体" w:eastAsia="仿宋_GB2312"/>
                <w:sz w:val="18"/>
                <w:szCs w:val="18"/>
                <w:highlight w:val="none"/>
                <w:lang w:eastAsia="zh-CN"/>
              </w:rPr>
            </w:pPr>
            <w:r>
              <w:rPr>
                <w:rFonts w:hint="eastAsia" w:ascii="仿宋_GB2312" w:hAnsi="宋体" w:eastAsia="仿宋_GB2312"/>
                <w:sz w:val="18"/>
                <w:szCs w:val="18"/>
                <w:highlight w:val="none"/>
              </w:rPr>
              <w:t>柳城县</w:t>
            </w:r>
            <w:r>
              <w:rPr>
                <w:rFonts w:hint="eastAsia" w:ascii="仿宋_GB2312" w:hAnsi="宋体" w:eastAsia="仿宋_GB2312"/>
                <w:sz w:val="18"/>
                <w:szCs w:val="18"/>
                <w:highlight w:val="none"/>
                <w:lang w:eastAsia="zh-CN"/>
              </w:rPr>
              <w:t>行政审批局</w:t>
            </w:r>
          </w:p>
        </w:tc>
        <w:tc>
          <w:tcPr>
            <w:tcW w:w="1524"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■政府门户网站</w:t>
            </w:r>
          </w:p>
          <w:p>
            <w:pPr>
              <w:rPr>
                <w:rFonts w:ascii="仿宋_GB2312" w:hAnsi="宋体" w:eastAsia="仿宋_GB2312"/>
                <w:sz w:val="18"/>
                <w:szCs w:val="18"/>
                <w:highlight w:val="none"/>
              </w:rPr>
            </w:pPr>
            <w:r>
              <w:rPr>
                <w:rFonts w:hint="eastAsia" w:ascii="仿宋_GB2312" w:hAnsi="宋体" w:eastAsia="仿宋_GB2312"/>
                <w:sz w:val="18"/>
                <w:szCs w:val="18"/>
                <w:highlight w:val="none"/>
              </w:rPr>
              <w:t>■公开查询点</w:t>
            </w:r>
          </w:p>
        </w:tc>
        <w:tc>
          <w:tcPr>
            <w:tcW w:w="60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84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　</w:t>
            </w:r>
          </w:p>
        </w:tc>
        <w:tc>
          <w:tcPr>
            <w:tcW w:w="615"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69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　</w:t>
            </w:r>
          </w:p>
        </w:tc>
        <w:tc>
          <w:tcPr>
            <w:tcW w:w="51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707" w:type="dxa"/>
            <w:vAlign w:val="center"/>
          </w:tcPr>
          <w:p>
            <w:pPr>
              <w:jc w:val="center"/>
              <w:rPr>
                <w:rFonts w:ascii="仿宋_GB2312" w:hAnsi="宋体" w:eastAsia="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652" w:hRule="atLeast"/>
          <w:jc w:val="center"/>
        </w:trPr>
        <w:tc>
          <w:tcPr>
            <w:tcW w:w="578" w:type="dxa"/>
            <w:vAlign w:val="center"/>
          </w:tcPr>
          <w:p>
            <w:pPr>
              <w:jc w:val="center"/>
              <w:rPr>
                <w:rFonts w:ascii="仿宋_GB2312" w:hAnsi="宋体" w:eastAsia="仿宋_GB2312" w:cs="宋体"/>
                <w:sz w:val="18"/>
                <w:szCs w:val="18"/>
                <w:highlight w:val="none"/>
              </w:rPr>
            </w:pPr>
            <w:r>
              <w:rPr>
                <w:rFonts w:hint="eastAsia" w:ascii="仿宋_GB2312" w:eastAsia="仿宋_GB2312"/>
                <w:sz w:val="18"/>
                <w:szCs w:val="18"/>
                <w:highlight w:val="none"/>
              </w:rPr>
              <w:t>5</w:t>
            </w:r>
          </w:p>
        </w:tc>
        <w:tc>
          <w:tcPr>
            <w:tcW w:w="780" w:type="dxa"/>
            <w:vMerge w:val="restart"/>
            <w:vAlign w:val="center"/>
          </w:tcPr>
          <w:p>
            <w:pPr>
              <w:jc w:val="center"/>
              <w:rPr>
                <w:rFonts w:ascii="仿宋_GB2312" w:hAnsi="宋体" w:eastAsia="仿宋_GB2312"/>
                <w:sz w:val="18"/>
                <w:szCs w:val="18"/>
                <w:highlight w:val="none"/>
              </w:rPr>
            </w:pPr>
            <w:r>
              <w:rPr>
                <w:rFonts w:hint="eastAsia" w:ascii="仿宋_GB2312" w:hAnsi="宋体" w:eastAsia="仿宋_GB2312" w:cs="宋体"/>
                <w:sz w:val="18"/>
                <w:szCs w:val="18"/>
                <w:highlight w:val="none"/>
              </w:rPr>
              <w:t>城市供水、城镇排水与污水处理</w:t>
            </w:r>
            <w:r>
              <w:rPr>
                <w:rFonts w:hint="eastAsia" w:ascii="仿宋_GB2312" w:hAnsi="宋体" w:eastAsia="仿宋_GB2312"/>
                <w:sz w:val="18"/>
                <w:szCs w:val="18"/>
                <w:highlight w:val="none"/>
              </w:rPr>
              <w:t>　</w:t>
            </w:r>
          </w:p>
        </w:tc>
        <w:tc>
          <w:tcPr>
            <w:tcW w:w="798"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拆除、改动、迁移城市公共供水设施审核</w:t>
            </w:r>
          </w:p>
        </w:tc>
        <w:tc>
          <w:tcPr>
            <w:tcW w:w="1620" w:type="dxa"/>
            <w:vAlign w:val="center"/>
          </w:tcPr>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申请条件、</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申请材料、</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申请流程、</w:t>
            </w:r>
          </w:p>
          <w:p>
            <w:pPr>
              <w:rPr>
                <w:rFonts w:ascii="仿宋_GB2312" w:hAnsi="宋体" w:eastAsia="仿宋_GB2312" w:cs="宋体"/>
                <w:sz w:val="18"/>
                <w:szCs w:val="18"/>
                <w:highlight w:val="none"/>
              </w:rPr>
            </w:pPr>
            <w:r>
              <w:rPr>
                <w:rFonts w:hint="eastAsia" w:ascii="仿宋_GB2312" w:hAnsi="宋体" w:eastAsia="仿宋_GB2312"/>
                <w:sz w:val="18"/>
                <w:szCs w:val="18"/>
                <w:highlight w:val="none"/>
              </w:rPr>
              <w:t>法定依据</w:t>
            </w:r>
          </w:p>
        </w:tc>
        <w:tc>
          <w:tcPr>
            <w:tcW w:w="2565"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《城市供水条例》</w:t>
            </w:r>
          </w:p>
        </w:tc>
        <w:tc>
          <w:tcPr>
            <w:tcW w:w="1275" w:type="dxa"/>
            <w:vAlign w:val="center"/>
          </w:tcPr>
          <w:p>
            <w:pPr>
              <w:rPr>
                <w:rFonts w:ascii="仿宋_GB2312" w:hAnsi="宋体" w:eastAsia="仿宋_GB2312"/>
                <w:sz w:val="18"/>
                <w:szCs w:val="18"/>
                <w:highlight w:val="none"/>
              </w:rPr>
            </w:pPr>
            <w:r>
              <w:rPr>
                <w:rFonts w:hint="eastAsia" w:ascii="仿宋_GB2312" w:hAnsi="仿宋" w:eastAsia="仿宋_GB2312"/>
                <w:color w:val="000000"/>
                <w:sz w:val="18"/>
                <w:szCs w:val="18"/>
                <w:highlight w:val="none"/>
              </w:rPr>
              <w:t>信息形成或者变更之日起20个工作日内</w:t>
            </w:r>
            <w:r>
              <w:rPr>
                <w:rFonts w:hint="eastAsia" w:ascii="仿宋_GB2312" w:hAnsi="仿宋" w:eastAsia="仿宋_GB2312"/>
                <w:color w:val="000000"/>
                <w:sz w:val="18"/>
                <w:szCs w:val="18"/>
                <w:highlight w:val="none"/>
                <w:lang w:eastAsia="zh-CN"/>
              </w:rPr>
              <w:t>，</w:t>
            </w:r>
            <w:r>
              <w:rPr>
                <w:rFonts w:hint="eastAsia" w:ascii="仿宋_GB2312" w:hAnsi="Times New Roman" w:eastAsia="仿宋_GB2312"/>
                <w:color w:val="auto"/>
                <w:sz w:val="18"/>
                <w:szCs w:val="18"/>
                <w:highlight w:val="none"/>
              </w:rPr>
              <w:t>其中行政许可事项应自作出行政决定之日起7个工作日内公示</w:t>
            </w:r>
          </w:p>
        </w:tc>
        <w:tc>
          <w:tcPr>
            <w:tcW w:w="1236"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柳城县</w:t>
            </w:r>
            <w:r>
              <w:rPr>
                <w:rFonts w:hint="eastAsia" w:ascii="仿宋_GB2312" w:hAnsi="宋体" w:eastAsia="仿宋_GB2312"/>
                <w:sz w:val="18"/>
                <w:szCs w:val="18"/>
                <w:highlight w:val="none"/>
                <w:lang w:eastAsia="zh-CN"/>
              </w:rPr>
              <w:t>行政审批局</w:t>
            </w:r>
            <w:r>
              <w:rPr>
                <w:rFonts w:hint="eastAsia" w:ascii="仿宋_GB2312" w:hAnsi="宋体" w:eastAsia="仿宋_GB2312"/>
                <w:sz w:val="18"/>
                <w:szCs w:val="18"/>
                <w:highlight w:val="none"/>
              </w:rPr>
              <w:t>、广汇供水有限公司</w:t>
            </w:r>
          </w:p>
        </w:tc>
        <w:tc>
          <w:tcPr>
            <w:tcW w:w="1524"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■政府门户网站</w:t>
            </w:r>
          </w:p>
          <w:p>
            <w:pPr>
              <w:rPr>
                <w:rFonts w:ascii="仿宋_GB2312" w:hAnsi="宋体" w:eastAsia="仿宋_GB2312"/>
                <w:sz w:val="18"/>
                <w:szCs w:val="18"/>
                <w:highlight w:val="none"/>
              </w:rPr>
            </w:pPr>
            <w:r>
              <w:rPr>
                <w:rFonts w:hint="eastAsia" w:ascii="仿宋_GB2312" w:hAnsi="宋体" w:eastAsia="仿宋_GB2312"/>
                <w:sz w:val="18"/>
                <w:szCs w:val="18"/>
                <w:highlight w:val="none"/>
              </w:rPr>
              <w:t>■公开查询点</w:t>
            </w:r>
          </w:p>
        </w:tc>
        <w:tc>
          <w:tcPr>
            <w:tcW w:w="60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84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　</w:t>
            </w:r>
          </w:p>
        </w:tc>
        <w:tc>
          <w:tcPr>
            <w:tcW w:w="615"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69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　</w:t>
            </w:r>
          </w:p>
        </w:tc>
        <w:tc>
          <w:tcPr>
            <w:tcW w:w="51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707" w:type="dxa"/>
            <w:vAlign w:val="center"/>
          </w:tcPr>
          <w:p>
            <w:pPr>
              <w:jc w:val="center"/>
              <w:rPr>
                <w:rFonts w:ascii="仿宋_GB2312" w:hAnsi="宋体" w:eastAsia="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51" w:hRule="atLeast"/>
          <w:jc w:val="center"/>
        </w:trPr>
        <w:tc>
          <w:tcPr>
            <w:tcW w:w="578" w:type="dxa"/>
            <w:vAlign w:val="center"/>
          </w:tcPr>
          <w:p>
            <w:pPr>
              <w:jc w:val="center"/>
              <w:rPr>
                <w:rFonts w:hint="eastAsia" w:ascii="仿宋_GB2312" w:hAnsi="宋体" w:eastAsia="仿宋_GB2312" w:cs="宋体"/>
                <w:sz w:val="18"/>
                <w:szCs w:val="18"/>
                <w:highlight w:val="none"/>
                <w:lang w:val="en-US" w:eastAsia="zh-CN"/>
              </w:rPr>
            </w:pPr>
            <w:r>
              <w:rPr>
                <w:rFonts w:hint="eastAsia" w:ascii="仿宋_GB2312" w:hAnsi="宋体" w:eastAsia="仿宋_GB2312" w:cs="宋体"/>
                <w:sz w:val="18"/>
                <w:szCs w:val="18"/>
                <w:highlight w:val="none"/>
                <w:lang w:val="en-US" w:eastAsia="zh-CN"/>
              </w:rPr>
              <w:t>6</w:t>
            </w:r>
          </w:p>
        </w:tc>
        <w:tc>
          <w:tcPr>
            <w:tcW w:w="780" w:type="dxa"/>
            <w:vMerge w:val="continue"/>
            <w:vAlign w:val="center"/>
          </w:tcPr>
          <w:p>
            <w:pPr>
              <w:jc w:val="center"/>
              <w:rPr>
                <w:rFonts w:ascii="仿宋_GB2312" w:hAnsi="宋体" w:eastAsia="仿宋_GB2312"/>
                <w:sz w:val="18"/>
                <w:szCs w:val="18"/>
                <w:highlight w:val="none"/>
              </w:rPr>
            </w:pPr>
          </w:p>
        </w:tc>
        <w:tc>
          <w:tcPr>
            <w:tcW w:w="798"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由于工程施工、设备维修等原因确需停止供水的审批</w:t>
            </w:r>
          </w:p>
        </w:tc>
        <w:tc>
          <w:tcPr>
            <w:tcW w:w="1620" w:type="dxa"/>
            <w:vAlign w:val="center"/>
          </w:tcPr>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申请条件、</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申请材料、</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申请流程、</w:t>
            </w:r>
          </w:p>
          <w:p>
            <w:pPr>
              <w:rPr>
                <w:rFonts w:ascii="仿宋_GB2312" w:hAnsi="宋体" w:eastAsia="仿宋_GB2312"/>
                <w:sz w:val="18"/>
                <w:szCs w:val="18"/>
                <w:highlight w:val="none"/>
              </w:rPr>
            </w:pPr>
            <w:r>
              <w:rPr>
                <w:rFonts w:hint="eastAsia" w:ascii="仿宋_GB2312" w:hAnsi="宋体" w:eastAsia="仿宋_GB2312"/>
                <w:sz w:val="18"/>
                <w:szCs w:val="18"/>
                <w:highlight w:val="none"/>
              </w:rPr>
              <w:t>法定依据。</w:t>
            </w:r>
          </w:p>
        </w:tc>
        <w:tc>
          <w:tcPr>
            <w:tcW w:w="2565" w:type="dxa"/>
            <w:vAlign w:val="center"/>
          </w:tcPr>
          <w:p>
            <w:pPr>
              <w:rPr>
                <w:rFonts w:ascii="仿宋_GB2312" w:eastAsia="仿宋_GB2312"/>
                <w:sz w:val="18"/>
                <w:szCs w:val="18"/>
                <w:highlight w:val="none"/>
              </w:rPr>
            </w:pPr>
            <w:r>
              <w:rPr>
                <w:rFonts w:hint="eastAsia" w:ascii="仿宋_GB2312" w:hAnsi="宋体" w:eastAsia="仿宋_GB2312"/>
                <w:sz w:val="18"/>
                <w:szCs w:val="18"/>
                <w:highlight w:val="none"/>
              </w:rPr>
              <w:t>《城市供水条例》</w:t>
            </w:r>
          </w:p>
        </w:tc>
        <w:tc>
          <w:tcPr>
            <w:tcW w:w="1275" w:type="dxa"/>
            <w:vAlign w:val="center"/>
          </w:tcPr>
          <w:p>
            <w:pPr>
              <w:jc w:val="center"/>
              <w:rPr>
                <w:rFonts w:ascii="仿宋_GB2312" w:eastAsia="仿宋_GB2312"/>
                <w:sz w:val="18"/>
                <w:szCs w:val="18"/>
                <w:highlight w:val="none"/>
              </w:rPr>
            </w:pPr>
            <w:r>
              <w:rPr>
                <w:rFonts w:hint="eastAsia" w:ascii="仿宋_GB2312" w:hAnsi="仿宋" w:eastAsia="仿宋_GB2312"/>
                <w:color w:val="000000"/>
                <w:sz w:val="18"/>
                <w:szCs w:val="18"/>
                <w:highlight w:val="none"/>
              </w:rPr>
              <w:t>信息形成或者变更之日起20个工作日内</w:t>
            </w:r>
            <w:r>
              <w:rPr>
                <w:rFonts w:hint="eastAsia" w:ascii="仿宋_GB2312" w:hAnsi="仿宋" w:eastAsia="仿宋_GB2312"/>
                <w:color w:val="000000"/>
                <w:sz w:val="18"/>
                <w:szCs w:val="18"/>
                <w:highlight w:val="none"/>
                <w:lang w:eastAsia="zh-CN"/>
              </w:rPr>
              <w:t>，</w:t>
            </w:r>
            <w:r>
              <w:rPr>
                <w:rFonts w:hint="eastAsia" w:ascii="仿宋_GB2312" w:hAnsi="Times New Roman" w:eastAsia="仿宋_GB2312"/>
                <w:color w:val="auto"/>
                <w:sz w:val="18"/>
                <w:szCs w:val="18"/>
                <w:highlight w:val="none"/>
              </w:rPr>
              <w:t>其中行政许可事项应自作出行政决定之日起7个工作日内公示</w:t>
            </w:r>
          </w:p>
        </w:tc>
        <w:tc>
          <w:tcPr>
            <w:tcW w:w="1236" w:type="dxa"/>
            <w:vAlign w:val="center"/>
          </w:tcPr>
          <w:p>
            <w:pPr>
              <w:rPr>
                <w:rFonts w:ascii="仿宋_GB2312" w:eastAsia="仿宋_GB2312"/>
                <w:sz w:val="18"/>
                <w:szCs w:val="18"/>
                <w:highlight w:val="none"/>
              </w:rPr>
            </w:pPr>
            <w:r>
              <w:rPr>
                <w:rFonts w:hint="eastAsia" w:ascii="仿宋_GB2312" w:hAnsi="宋体" w:eastAsia="仿宋_GB2312"/>
                <w:sz w:val="18"/>
                <w:szCs w:val="18"/>
                <w:highlight w:val="none"/>
              </w:rPr>
              <w:t>柳城县</w:t>
            </w:r>
            <w:r>
              <w:rPr>
                <w:rFonts w:hint="eastAsia" w:ascii="仿宋_GB2312" w:hAnsi="宋体" w:eastAsia="仿宋_GB2312"/>
                <w:sz w:val="18"/>
                <w:szCs w:val="18"/>
                <w:highlight w:val="none"/>
                <w:lang w:eastAsia="zh-CN"/>
              </w:rPr>
              <w:t>行政审批局</w:t>
            </w:r>
            <w:r>
              <w:rPr>
                <w:rFonts w:hint="eastAsia" w:ascii="仿宋_GB2312" w:hAnsi="宋体" w:eastAsia="仿宋_GB2312"/>
                <w:sz w:val="18"/>
                <w:szCs w:val="18"/>
                <w:highlight w:val="none"/>
              </w:rPr>
              <w:t>、广汇供水有限公司</w:t>
            </w:r>
          </w:p>
        </w:tc>
        <w:tc>
          <w:tcPr>
            <w:tcW w:w="1524"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■政府门户网站</w:t>
            </w:r>
          </w:p>
          <w:p>
            <w:pPr>
              <w:rPr>
                <w:rFonts w:ascii="仿宋_GB2312" w:hAnsi="宋体" w:eastAsia="仿宋_GB2312"/>
                <w:sz w:val="18"/>
                <w:szCs w:val="18"/>
                <w:highlight w:val="none"/>
              </w:rPr>
            </w:pPr>
            <w:r>
              <w:rPr>
                <w:rFonts w:hint="eastAsia" w:ascii="仿宋_GB2312" w:hAnsi="宋体" w:eastAsia="仿宋_GB2312"/>
                <w:sz w:val="18"/>
                <w:szCs w:val="18"/>
                <w:highlight w:val="none"/>
              </w:rPr>
              <w:t>■公开查询点</w:t>
            </w:r>
          </w:p>
        </w:tc>
        <w:tc>
          <w:tcPr>
            <w:tcW w:w="60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840"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　</w:t>
            </w:r>
          </w:p>
        </w:tc>
        <w:tc>
          <w:tcPr>
            <w:tcW w:w="615"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690" w:type="dxa"/>
            <w:vAlign w:val="center"/>
          </w:tcPr>
          <w:p>
            <w:pPr>
              <w:rPr>
                <w:rFonts w:ascii="仿宋_GB2312" w:hAnsi="宋体" w:eastAsia="仿宋_GB2312"/>
                <w:sz w:val="18"/>
                <w:szCs w:val="18"/>
                <w:highlight w:val="none"/>
              </w:rPr>
            </w:pPr>
          </w:p>
        </w:tc>
        <w:tc>
          <w:tcPr>
            <w:tcW w:w="510"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707" w:type="dxa"/>
            <w:vAlign w:val="center"/>
          </w:tcPr>
          <w:p>
            <w:pPr>
              <w:rPr>
                <w:rFonts w:ascii="仿宋_GB2312" w:hAnsi="宋体" w:eastAsia="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578" w:type="dxa"/>
            <w:vAlign w:val="center"/>
          </w:tcPr>
          <w:p>
            <w:pPr>
              <w:jc w:val="center"/>
              <w:rPr>
                <w:rFonts w:hint="eastAsia" w:ascii="仿宋_GB2312" w:eastAsia="仿宋_GB2312"/>
                <w:sz w:val="18"/>
                <w:szCs w:val="18"/>
                <w:highlight w:val="none"/>
                <w:lang w:val="en-US" w:eastAsia="zh-CN"/>
              </w:rPr>
            </w:pPr>
            <w:r>
              <w:rPr>
                <w:rFonts w:hint="eastAsia" w:ascii="仿宋_GB2312" w:eastAsia="仿宋_GB2312"/>
                <w:sz w:val="18"/>
                <w:szCs w:val="18"/>
                <w:highlight w:val="none"/>
                <w:lang w:val="en-US" w:eastAsia="zh-CN"/>
              </w:rPr>
              <w:t>7</w:t>
            </w:r>
          </w:p>
        </w:tc>
        <w:tc>
          <w:tcPr>
            <w:tcW w:w="780" w:type="dxa"/>
            <w:vAlign w:val="center"/>
          </w:tcPr>
          <w:p>
            <w:pPr>
              <w:jc w:val="center"/>
              <w:rPr>
                <w:rFonts w:ascii="仿宋_GB2312" w:hAnsi="宋体" w:eastAsia="仿宋_GB2312" w:cs="宋体"/>
                <w:sz w:val="18"/>
                <w:szCs w:val="18"/>
                <w:highlight w:val="none"/>
              </w:rPr>
            </w:pPr>
          </w:p>
        </w:tc>
        <w:tc>
          <w:tcPr>
            <w:tcW w:w="798"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城镇污水排入排水管网许可</w:t>
            </w:r>
          </w:p>
          <w:p>
            <w:pPr>
              <w:rPr>
                <w:rFonts w:ascii="仿宋_GB2312" w:hAnsi="宋体" w:eastAsia="仿宋_GB2312"/>
                <w:sz w:val="18"/>
                <w:szCs w:val="18"/>
                <w:highlight w:val="none"/>
              </w:rPr>
            </w:pPr>
          </w:p>
        </w:tc>
        <w:tc>
          <w:tcPr>
            <w:tcW w:w="1620" w:type="dxa"/>
            <w:vAlign w:val="center"/>
          </w:tcPr>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申请条件、</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申请材料、</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申请流程、</w:t>
            </w:r>
          </w:p>
          <w:p>
            <w:pPr>
              <w:rPr>
                <w:rFonts w:ascii="仿宋_GB2312" w:hAnsi="宋体" w:eastAsia="仿宋_GB2312"/>
                <w:sz w:val="18"/>
                <w:szCs w:val="18"/>
                <w:highlight w:val="none"/>
              </w:rPr>
            </w:pPr>
            <w:r>
              <w:rPr>
                <w:rFonts w:hint="eastAsia" w:ascii="仿宋_GB2312" w:hAnsi="宋体" w:eastAsia="仿宋_GB2312"/>
                <w:sz w:val="18"/>
                <w:szCs w:val="18"/>
                <w:highlight w:val="none"/>
              </w:rPr>
              <w:t>法定依据。</w:t>
            </w:r>
          </w:p>
        </w:tc>
        <w:tc>
          <w:tcPr>
            <w:tcW w:w="2565"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《城镇排水与污水处理条例》</w:t>
            </w:r>
          </w:p>
        </w:tc>
        <w:tc>
          <w:tcPr>
            <w:tcW w:w="1275" w:type="dxa"/>
            <w:vAlign w:val="center"/>
          </w:tcPr>
          <w:p>
            <w:pPr>
              <w:jc w:val="center"/>
              <w:rPr>
                <w:rFonts w:ascii="仿宋_GB2312" w:hAnsi="宋体" w:eastAsia="仿宋_GB2312"/>
                <w:sz w:val="18"/>
                <w:szCs w:val="18"/>
                <w:highlight w:val="none"/>
              </w:rPr>
            </w:pPr>
            <w:r>
              <w:rPr>
                <w:rFonts w:hint="eastAsia" w:ascii="仿宋_GB2312" w:hAnsi="仿宋" w:eastAsia="仿宋_GB2312"/>
                <w:color w:val="000000"/>
                <w:sz w:val="18"/>
                <w:szCs w:val="18"/>
                <w:highlight w:val="none"/>
              </w:rPr>
              <w:t>信息形成或者变更之日起20个工作日内</w:t>
            </w:r>
            <w:r>
              <w:rPr>
                <w:rFonts w:hint="eastAsia" w:ascii="仿宋_GB2312" w:hAnsi="仿宋" w:eastAsia="仿宋_GB2312"/>
                <w:color w:val="000000"/>
                <w:sz w:val="18"/>
                <w:szCs w:val="18"/>
                <w:highlight w:val="none"/>
                <w:lang w:eastAsia="zh-CN"/>
              </w:rPr>
              <w:t>，</w:t>
            </w:r>
            <w:r>
              <w:rPr>
                <w:rFonts w:hint="eastAsia" w:ascii="仿宋_GB2312" w:hAnsi="Times New Roman" w:eastAsia="仿宋_GB2312"/>
                <w:color w:val="auto"/>
                <w:sz w:val="18"/>
                <w:szCs w:val="18"/>
                <w:highlight w:val="none"/>
              </w:rPr>
              <w:t>其中行政许可事项应自作出行政决定之日起7个工作日内公示</w:t>
            </w:r>
          </w:p>
        </w:tc>
        <w:tc>
          <w:tcPr>
            <w:tcW w:w="1236" w:type="dxa"/>
            <w:vAlign w:val="center"/>
          </w:tcPr>
          <w:p>
            <w:pPr>
              <w:rPr>
                <w:rFonts w:hint="eastAsia" w:ascii="仿宋_GB2312" w:hAnsi="宋体" w:eastAsia="仿宋_GB2312"/>
                <w:sz w:val="18"/>
                <w:szCs w:val="18"/>
                <w:highlight w:val="none"/>
                <w:lang w:eastAsia="zh-CN"/>
              </w:rPr>
            </w:pPr>
            <w:r>
              <w:rPr>
                <w:rFonts w:hint="eastAsia" w:ascii="仿宋_GB2312" w:hAnsi="宋体" w:eastAsia="仿宋_GB2312"/>
                <w:sz w:val="18"/>
                <w:szCs w:val="18"/>
                <w:highlight w:val="none"/>
              </w:rPr>
              <w:t>柳城县</w:t>
            </w:r>
            <w:r>
              <w:rPr>
                <w:rFonts w:hint="eastAsia" w:ascii="仿宋_GB2312" w:hAnsi="宋体" w:eastAsia="仿宋_GB2312"/>
                <w:sz w:val="18"/>
                <w:szCs w:val="18"/>
                <w:highlight w:val="none"/>
                <w:lang w:eastAsia="zh-CN"/>
              </w:rPr>
              <w:t>行政审批局</w:t>
            </w:r>
          </w:p>
        </w:tc>
        <w:tc>
          <w:tcPr>
            <w:tcW w:w="1524"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■政府门户网站</w:t>
            </w:r>
          </w:p>
          <w:p>
            <w:pPr>
              <w:rPr>
                <w:rFonts w:ascii="仿宋_GB2312" w:hAnsi="宋体" w:eastAsia="仿宋_GB2312"/>
                <w:sz w:val="18"/>
                <w:szCs w:val="18"/>
                <w:highlight w:val="none"/>
              </w:rPr>
            </w:pPr>
            <w:r>
              <w:rPr>
                <w:rFonts w:hint="eastAsia" w:ascii="仿宋_GB2312" w:hAnsi="宋体" w:eastAsia="仿宋_GB2312"/>
                <w:sz w:val="18"/>
                <w:szCs w:val="18"/>
                <w:highlight w:val="none"/>
              </w:rPr>
              <w:t>■公开查询点</w:t>
            </w:r>
          </w:p>
        </w:tc>
        <w:tc>
          <w:tcPr>
            <w:tcW w:w="600" w:type="dxa"/>
            <w:vAlign w:val="center"/>
          </w:tcPr>
          <w:p>
            <w:pPr>
              <w:jc w:val="center"/>
              <w:rPr>
                <w:sz w:val="18"/>
                <w:szCs w:val="18"/>
                <w:highlight w:val="none"/>
              </w:rPr>
            </w:pPr>
            <w:r>
              <w:rPr>
                <w:rFonts w:hint="eastAsia"/>
                <w:sz w:val="18"/>
                <w:szCs w:val="18"/>
                <w:highlight w:val="none"/>
              </w:rPr>
              <w:t>√</w:t>
            </w:r>
          </w:p>
        </w:tc>
        <w:tc>
          <w:tcPr>
            <w:tcW w:w="840" w:type="dxa"/>
            <w:vAlign w:val="center"/>
          </w:tcPr>
          <w:p>
            <w:pPr>
              <w:jc w:val="center"/>
              <w:rPr>
                <w:sz w:val="18"/>
                <w:szCs w:val="18"/>
                <w:highlight w:val="none"/>
              </w:rPr>
            </w:pPr>
            <w:r>
              <w:rPr>
                <w:rFonts w:hint="eastAsia"/>
                <w:sz w:val="18"/>
                <w:szCs w:val="18"/>
                <w:highlight w:val="none"/>
              </w:rPr>
              <w:t>　</w:t>
            </w:r>
          </w:p>
        </w:tc>
        <w:tc>
          <w:tcPr>
            <w:tcW w:w="615" w:type="dxa"/>
            <w:vAlign w:val="center"/>
          </w:tcPr>
          <w:p>
            <w:pPr>
              <w:jc w:val="center"/>
              <w:rPr>
                <w:sz w:val="18"/>
                <w:szCs w:val="18"/>
                <w:highlight w:val="none"/>
              </w:rPr>
            </w:pPr>
            <w:r>
              <w:rPr>
                <w:rFonts w:hint="eastAsia"/>
                <w:sz w:val="18"/>
                <w:szCs w:val="18"/>
                <w:highlight w:val="none"/>
              </w:rPr>
              <w:t>√</w:t>
            </w:r>
          </w:p>
        </w:tc>
        <w:tc>
          <w:tcPr>
            <w:tcW w:w="690" w:type="dxa"/>
            <w:vAlign w:val="center"/>
          </w:tcPr>
          <w:p>
            <w:pPr>
              <w:rPr>
                <w:rFonts w:ascii="宋体" w:hAnsi="宋体" w:cs="宋体"/>
                <w:sz w:val="18"/>
                <w:szCs w:val="18"/>
                <w:highlight w:val="none"/>
              </w:rPr>
            </w:pPr>
          </w:p>
        </w:tc>
        <w:tc>
          <w:tcPr>
            <w:tcW w:w="510"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w:t>
            </w:r>
          </w:p>
        </w:tc>
        <w:tc>
          <w:tcPr>
            <w:tcW w:w="707" w:type="dxa"/>
            <w:vAlign w:val="center"/>
          </w:tcPr>
          <w:p>
            <w:pPr>
              <w:rPr>
                <w:rFonts w:ascii="宋体" w:hAnsi="宋体" w:cs="宋体"/>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578" w:type="dxa"/>
            <w:vAlign w:val="center"/>
          </w:tcPr>
          <w:p>
            <w:pPr>
              <w:jc w:val="center"/>
              <w:rPr>
                <w:rFonts w:hint="default" w:ascii="仿宋_GB2312" w:eastAsia="仿宋_GB2312"/>
                <w:sz w:val="18"/>
                <w:szCs w:val="18"/>
                <w:highlight w:val="none"/>
                <w:lang w:val="en-US" w:eastAsia="zh-CN"/>
              </w:rPr>
            </w:pPr>
            <w:r>
              <w:rPr>
                <w:rFonts w:hint="eastAsia" w:ascii="仿宋_GB2312" w:eastAsia="仿宋_GB2312"/>
                <w:sz w:val="18"/>
                <w:szCs w:val="18"/>
                <w:highlight w:val="none"/>
                <w:lang w:val="en-US" w:eastAsia="zh-CN"/>
              </w:rPr>
              <w:t>8</w:t>
            </w:r>
          </w:p>
        </w:tc>
        <w:tc>
          <w:tcPr>
            <w:tcW w:w="780" w:type="dxa"/>
            <w:vAlign w:val="center"/>
          </w:tcPr>
          <w:p>
            <w:pPr>
              <w:jc w:val="center"/>
              <w:rPr>
                <w:rFonts w:ascii="仿宋_GB2312" w:hAnsi="宋体" w:eastAsia="仿宋_GB2312" w:cs="宋体"/>
                <w:sz w:val="18"/>
                <w:szCs w:val="18"/>
                <w:highlight w:val="none"/>
              </w:rPr>
            </w:pPr>
          </w:p>
        </w:tc>
        <w:tc>
          <w:tcPr>
            <w:tcW w:w="798" w:type="dxa"/>
            <w:vAlign w:val="center"/>
          </w:tcPr>
          <w:p>
            <w:pPr>
              <w:jc w:val="center"/>
              <w:rPr>
                <w:rFonts w:ascii="仿宋_GB2312" w:hAnsi="宋体" w:eastAsia="仿宋_GB2312"/>
                <w:sz w:val="18"/>
                <w:szCs w:val="18"/>
                <w:highlight w:val="none"/>
              </w:rPr>
            </w:pPr>
            <w:r>
              <w:rPr>
                <w:rFonts w:hint="eastAsia" w:ascii="仿宋_GB2312" w:hAnsi="宋体" w:eastAsia="仿宋_GB2312"/>
                <w:sz w:val="18"/>
                <w:szCs w:val="18"/>
                <w:highlight w:val="none"/>
              </w:rPr>
              <w:t>拆除、改动城镇排水与污水处理设施审核</w:t>
            </w:r>
          </w:p>
        </w:tc>
        <w:tc>
          <w:tcPr>
            <w:tcW w:w="1620" w:type="dxa"/>
            <w:vAlign w:val="center"/>
          </w:tcPr>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申请条件、</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申请材料、</w:t>
            </w:r>
          </w:p>
          <w:p>
            <w:pPr>
              <w:jc w:val="left"/>
              <w:rPr>
                <w:rFonts w:ascii="仿宋_GB2312" w:hAnsi="宋体" w:eastAsia="仿宋_GB2312"/>
                <w:sz w:val="18"/>
                <w:szCs w:val="18"/>
                <w:highlight w:val="none"/>
              </w:rPr>
            </w:pPr>
            <w:r>
              <w:rPr>
                <w:rFonts w:hint="eastAsia" w:ascii="仿宋_GB2312" w:hAnsi="宋体" w:eastAsia="仿宋_GB2312"/>
                <w:sz w:val="18"/>
                <w:szCs w:val="18"/>
                <w:highlight w:val="none"/>
              </w:rPr>
              <w:t>申请流程、</w:t>
            </w:r>
          </w:p>
          <w:p>
            <w:pPr>
              <w:rPr>
                <w:rFonts w:hint="eastAsia" w:ascii="仿宋_GB2312" w:hAnsi="宋体" w:eastAsia="仿宋_GB2312"/>
                <w:sz w:val="18"/>
                <w:szCs w:val="18"/>
                <w:highlight w:val="none"/>
              </w:rPr>
            </w:pPr>
            <w:r>
              <w:rPr>
                <w:rFonts w:hint="eastAsia" w:ascii="仿宋_GB2312" w:hAnsi="宋体" w:eastAsia="仿宋_GB2312"/>
                <w:sz w:val="18"/>
                <w:szCs w:val="18"/>
                <w:highlight w:val="none"/>
              </w:rPr>
              <w:t>法定依据。</w:t>
            </w:r>
          </w:p>
        </w:tc>
        <w:tc>
          <w:tcPr>
            <w:tcW w:w="2565" w:type="dxa"/>
            <w:vAlign w:val="center"/>
          </w:tcPr>
          <w:p>
            <w:pPr>
              <w:rPr>
                <w:rFonts w:hint="eastAsia" w:ascii="仿宋_GB2312" w:hAnsi="宋体" w:eastAsia="仿宋_GB2312"/>
                <w:sz w:val="18"/>
                <w:szCs w:val="18"/>
                <w:highlight w:val="none"/>
              </w:rPr>
            </w:pPr>
            <w:r>
              <w:rPr>
                <w:rFonts w:hint="eastAsia" w:ascii="仿宋_GB2312" w:hAnsi="宋体" w:eastAsia="仿宋_GB2312"/>
                <w:sz w:val="18"/>
                <w:szCs w:val="18"/>
                <w:highlight w:val="none"/>
              </w:rPr>
              <w:t>《城镇排水与污水处理条例》</w:t>
            </w:r>
          </w:p>
        </w:tc>
        <w:tc>
          <w:tcPr>
            <w:tcW w:w="1275" w:type="dxa"/>
            <w:vAlign w:val="center"/>
          </w:tcPr>
          <w:p>
            <w:pPr>
              <w:jc w:val="center"/>
              <w:rPr>
                <w:rFonts w:hint="eastAsia" w:ascii="仿宋_GB2312" w:hAnsi="仿宋" w:eastAsia="仿宋_GB2312"/>
                <w:color w:val="000000"/>
                <w:sz w:val="18"/>
                <w:szCs w:val="18"/>
                <w:highlight w:val="none"/>
              </w:rPr>
            </w:pPr>
            <w:r>
              <w:rPr>
                <w:rFonts w:hint="eastAsia" w:ascii="仿宋_GB2312" w:hAnsi="仿宋" w:eastAsia="仿宋_GB2312"/>
                <w:color w:val="000000"/>
                <w:sz w:val="18"/>
                <w:szCs w:val="18"/>
                <w:highlight w:val="none"/>
              </w:rPr>
              <w:t>信息形成或者变更之日起20个工作日内</w:t>
            </w:r>
            <w:r>
              <w:rPr>
                <w:rFonts w:hint="eastAsia" w:ascii="仿宋_GB2312" w:hAnsi="仿宋" w:eastAsia="仿宋_GB2312"/>
                <w:color w:val="000000"/>
                <w:sz w:val="18"/>
                <w:szCs w:val="18"/>
                <w:highlight w:val="none"/>
                <w:lang w:eastAsia="zh-CN"/>
              </w:rPr>
              <w:t>，</w:t>
            </w:r>
            <w:r>
              <w:rPr>
                <w:rFonts w:hint="eastAsia" w:ascii="仿宋_GB2312" w:hAnsi="Times New Roman" w:eastAsia="仿宋_GB2312"/>
                <w:color w:val="auto"/>
                <w:sz w:val="18"/>
                <w:szCs w:val="18"/>
                <w:highlight w:val="none"/>
              </w:rPr>
              <w:t>其中行政许可事项应自作出行政决定之日起7个工作日内公示</w:t>
            </w:r>
          </w:p>
        </w:tc>
        <w:tc>
          <w:tcPr>
            <w:tcW w:w="1236" w:type="dxa"/>
            <w:vAlign w:val="center"/>
          </w:tcPr>
          <w:p>
            <w:pPr>
              <w:rPr>
                <w:rFonts w:hint="eastAsia" w:ascii="仿宋_GB2312" w:hAnsi="宋体" w:eastAsia="仿宋_GB2312"/>
                <w:sz w:val="18"/>
                <w:szCs w:val="18"/>
                <w:highlight w:val="none"/>
              </w:rPr>
            </w:pPr>
            <w:r>
              <w:rPr>
                <w:rFonts w:hint="eastAsia" w:ascii="仿宋_GB2312" w:hAnsi="宋体" w:eastAsia="仿宋_GB2312"/>
                <w:sz w:val="18"/>
                <w:szCs w:val="18"/>
                <w:highlight w:val="none"/>
              </w:rPr>
              <w:t>柳城县</w:t>
            </w:r>
            <w:r>
              <w:rPr>
                <w:rFonts w:hint="eastAsia" w:ascii="仿宋_GB2312" w:hAnsi="宋体" w:eastAsia="仿宋_GB2312"/>
                <w:sz w:val="18"/>
                <w:szCs w:val="18"/>
                <w:highlight w:val="none"/>
                <w:lang w:eastAsia="zh-CN"/>
              </w:rPr>
              <w:t>行政审批局</w:t>
            </w:r>
          </w:p>
        </w:tc>
        <w:tc>
          <w:tcPr>
            <w:tcW w:w="1524" w:type="dxa"/>
            <w:vAlign w:val="center"/>
          </w:tcPr>
          <w:p>
            <w:pPr>
              <w:rPr>
                <w:rFonts w:ascii="仿宋_GB2312" w:hAnsi="宋体" w:eastAsia="仿宋_GB2312"/>
                <w:sz w:val="18"/>
                <w:szCs w:val="18"/>
                <w:highlight w:val="none"/>
              </w:rPr>
            </w:pPr>
            <w:r>
              <w:rPr>
                <w:rFonts w:hint="eastAsia" w:ascii="仿宋_GB2312" w:hAnsi="宋体" w:eastAsia="仿宋_GB2312"/>
                <w:sz w:val="18"/>
                <w:szCs w:val="18"/>
                <w:highlight w:val="none"/>
              </w:rPr>
              <w:t>■政府门户网站</w:t>
            </w:r>
          </w:p>
          <w:p>
            <w:pPr>
              <w:rPr>
                <w:rFonts w:hint="eastAsia" w:ascii="仿宋_GB2312" w:hAnsi="宋体" w:eastAsia="仿宋_GB2312" w:cstheme="minorBidi"/>
                <w:kern w:val="2"/>
                <w:sz w:val="18"/>
                <w:szCs w:val="18"/>
                <w:highlight w:val="none"/>
                <w:lang w:val="en-US" w:eastAsia="zh-CN" w:bidi="ar-SA"/>
              </w:rPr>
            </w:pPr>
            <w:r>
              <w:rPr>
                <w:rFonts w:hint="eastAsia" w:ascii="仿宋_GB2312" w:hAnsi="宋体" w:eastAsia="仿宋_GB2312"/>
                <w:sz w:val="18"/>
                <w:szCs w:val="18"/>
                <w:highlight w:val="none"/>
              </w:rPr>
              <w:t>■公开查询点</w:t>
            </w:r>
          </w:p>
        </w:tc>
        <w:tc>
          <w:tcPr>
            <w:tcW w:w="600" w:type="dxa"/>
            <w:vAlign w:val="center"/>
          </w:tcPr>
          <w:p>
            <w:pPr>
              <w:jc w:val="center"/>
              <w:rPr>
                <w:rFonts w:hint="eastAsia" w:asciiTheme="minorHAnsi" w:hAnsiTheme="minorHAnsi" w:eastAsiaTheme="minorEastAsia" w:cstheme="minorBidi"/>
                <w:kern w:val="2"/>
                <w:sz w:val="18"/>
                <w:szCs w:val="18"/>
                <w:highlight w:val="none"/>
                <w:lang w:val="en-US" w:eastAsia="zh-CN" w:bidi="ar-SA"/>
              </w:rPr>
            </w:pPr>
            <w:r>
              <w:rPr>
                <w:rFonts w:hint="eastAsia"/>
                <w:sz w:val="18"/>
                <w:szCs w:val="18"/>
                <w:highlight w:val="none"/>
              </w:rPr>
              <w:t>√</w:t>
            </w:r>
          </w:p>
        </w:tc>
        <w:tc>
          <w:tcPr>
            <w:tcW w:w="840" w:type="dxa"/>
            <w:vAlign w:val="center"/>
          </w:tcPr>
          <w:p>
            <w:pPr>
              <w:jc w:val="center"/>
              <w:rPr>
                <w:rFonts w:hint="eastAsia" w:asciiTheme="minorHAnsi" w:hAnsiTheme="minorHAnsi" w:eastAsiaTheme="minorEastAsia" w:cstheme="minorBidi"/>
                <w:kern w:val="2"/>
                <w:sz w:val="18"/>
                <w:szCs w:val="18"/>
                <w:highlight w:val="none"/>
                <w:lang w:val="en-US" w:eastAsia="zh-CN" w:bidi="ar-SA"/>
              </w:rPr>
            </w:pPr>
            <w:r>
              <w:rPr>
                <w:rFonts w:hint="eastAsia"/>
                <w:sz w:val="18"/>
                <w:szCs w:val="18"/>
                <w:highlight w:val="none"/>
              </w:rPr>
              <w:t>　</w:t>
            </w:r>
          </w:p>
        </w:tc>
        <w:tc>
          <w:tcPr>
            <w:tcW w:w="615" w:type="dxa"/>
            <w:vAlign w:val="center"/>
          </w:tcPr>
          <w:p>
            <w:pPr>
              <w:jc w:val="center"/>
              <w:rPr>
                <w:rFonts w:hint="eastAsia" w:asciiTheme="minorHAnsi" w:hAnsiTheme="minorHAnsi" w:eastAsiaTheme="minorEastAsia" w:cstheme="minorBidi"/>
                <w:kern w:val="2"/>
                <w:sz w:val="18"/>
                <w:szCs w:val="18"/>
                <w:highlight w:val="none"/>
                <w:lang w:val="en-US" w:eastAsia="zh-CN" w:bidi="ar-SA"/>
              </w:rPr>
            </w:pPr>
            <w:r>
              <w:rPr>
                <w:rFonts w:hint="eastAsia"/>
                <w:sz w:val="18"/>
                <w:szCs w:val="18"/>
                <w:highlight w:val="none"/>
              </w:rPr>
              <w:t>√</w:t>
            </w:r>
          </w:p>
        </w:tc>
        <w:tc>
          <w:tcPr>
            <w:tcW w:w="690" w:type="dxa"/>
            <w:vAlign w:val="center"/>
          </w:tcPr>
          <w:p>
            <w:pPr>
              <w:rPr>
                <w:rFonts w:ascii="宋体" w:hAnsi="宋体" w:cs="宋体" w:eastAsiaTheme="minorEastAsia"/>
                <w:kern w:val="2"/>
                <w:sz w:val="18"/>
                <w:szCs w:val="18"/>
                <w:highlight w:val="none"/>
                <w:lang w:val="en-US" w:eastAsia="zh-CN" w:bidi="ar-SA"/>
              </w:rPr>
            </w:pPr>
          </w:p>
        </w:tc>
        <w:tc>
          <w:tcPr>
            <w:tcW w:w="510" w:type="dxa"/>
            <w:vAlign w:val="center"/>
          </w:tcPr>
          <w:p>
            <w:pPr>
              <w:rPr>
                <w:rFonts w:hint="eastAsia" w:ascii="仿宋_GB2312" w:hAnsi="宋体" w:eastAsia="仿宋_GB2312" w:cstheme="minorBidi"/>
                <w:kern w:val="2"/>
                <w:sz w:val="18"/>
                <w:szCs w:val="18"/>
                <w:highlight w:val="none"/>
                <w:lang w:val="en-US" w:eastAsia="zh-CN" w:bidi="ar-SA"/>
              </w:rPr>
            </w:pPr>
            <w:r>
              <w:rPr>
                <w:rFonts w:hint="eastAsia" w:ascii="仿宋_GB2312" w:hAnsi="宋体" w:eastAsia="仿宋_GB2312"/>
                <w:sz w:val="18"/>
                <w:szCs w:val="18"/>
                <w:highlight w:val="none"/>
              </w:rPr>
              <w:t>√</w:t>
            </w:r>
          </w:p>
        </w:tc>
        <w:tc>
          <w:tcPr>
            <w:tcW w:w="707" w:type="dxa"/>
            <w:vAlign w:val="center"/>
          </w:tcPr>
          <w:p>
            <w:pPr>
              <w:rPr>
                <w:rFonts w:ascii="宋体" w:hAnsi="宋体" w:cs="宋体" w:eastAsiaTheme="minorEastAsia"/>
                <w:kern w:val="2"/>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578" w:type="dxa"/>
            <w:vAlign w:val="center"/>
          </w:tcPr>
          <w:p>
            <w:pPr>
              <w:widowControl/>
              <w:jc w:val="center"/>
              <w:textAlignment w:val="center"/>
              <w:rPr>
                <w:rFonts w:hint="default" w:ascii="仿宋_GB2312" w:hAnsi="仿宋_GB2312" w:eastAsia="仿宋_GB2312" w:cs="仿宋_GB2312"/>
                <w:sz w:val="18"/>
                <w:szCs w:val="18"/>
                <w:highlight w:val="none"/>
                <w:lang w:val="en-US" w:eastAsia="zh-CN"/>
              </w:rPr>
            </w:pPr>
            <w:r>
              <w:rPr>
                <w:rFonts w:hint="eastAsia" w:ascii="仿宋_GB2312" w:hAnsi="仿宋_GB2312" w:eastAsia="仿宋_GB2312" w:cs="仿宋_GB2312"/>
                <w:sz w:val="18"/>
                <w:szCs w:val="18"/>
                <w:highlight w:val="none"/>
                <w:lang w:val="en-US" w:eastAsia="zh-CN"/>
              </w:rPr>
              <w:t>9</w:t>
            </w:r>
          </w:p>
        </w:tc>
        <w:tc>
          <w:tcPr>
            <w:tcW w:w="780" w:type="dxa"/>
            <w:vMerge w:val="restart"/>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绿化管理</w:t>
            </w:r>
          </w:p>
        </w:tc>
        <w:tc>
          <w:tcPr>
            <w:tcW w:w="798"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工程建设涉及城市绿地、树木审批</w:t>
            </w:r>
          </w:p>
        </w:tc>
        <w:tc>
          <w:tcPr>
            <w:tcW w:w="162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申请条件、</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申请材料、</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申请流程、</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法定依据。</w:t>
            </w:r>
          </w:p>
        </w:tc>
        <w:tc>
          <w:tcPr>
            <w:tcW w:w="256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《城市绿化条例》</w:t>
            </w:r>
          </w:p>
        </w:tc>
        <w:tc>
          <w:tcPr>
            <w:tcW w:w="1275"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 w:eastAsia="仿宋_GB2312"/>
                <w:color w:val="000000"/>
                <w:sz w:val="18"/>
                <w:szCs w:val="18"/>
                <w:highlight w:val="none"/>
              </w:rPr>
              <w:t>信息形成或者变更之日起20个工作日内</w:t>
            </w:r>
            <w:r>
              <w:rPr>
                <w:rFonts w:hint="eastAsia" w:ascii="仿宋_GB2312" w:hAnsi="仿宋" w:eastAsia="仿宋_GB2312"/>
                <w:color w:val="000000"/>
                <w:sz w:val="18"/>
                <w:szCs w:val="18"/>
                <w:highlight w:val="none"/>
                <w:lang w:eastAsia="zh-CN"/>
              </w:rPr>
              <w:t>，</w:t>
            </w:r>
            <w:r>
              <w:rPr>
                <w:rFonts w:hint="eastAsia" w:ascii="仿宋_GB2312" w:hAnsi="Times New Roman" w:eastAsia="仿宋_GB2312"/>
                <w:color w:val="auto"/>
                <w:sz w:val="18"/>
                <w:szCs w:val="18"/>
                <w:highlight w:val="none"/>
              </w:rPr>
              <w:t>其中行政许可事项应自作出行政决定之日起7个工作日内公示</w:t>
            </w:r>
          </w:p>
        </w:tc>
        <w:tc>
          <w:tcPr>
            <w:tcW w:w="1236" w:type="dxa"/>
            <w:vAlign w:val="center"/>
          </w:tcPr>
          <w:p>
            <w:pPr>
              <w:widowControl/>
              <w:jc w:val="center"/>
              <w:textAlignment w:val="center"/>
              <w:rPr>
                <w:rFonts w:hint="eastAsia" w:ascii="仿宋_GB2312" w:hAnsi="仿宋_GB2312" w:eastAsia="仿宋_GB2312" w:cs="仿宋_GB2312"/>
                <w:sz w:val="18"/>
                <w:szCs w:val="18"/>
                <w:highlight w:val="none"/>
                <w:lang w:eastAsia="zh-CN"/>
              </w:rPr>
            </w:pPr>
            <w:r>
              <w:rPr>
                <w:rFonts w:hint="eastAsia" w:ascii="仿宋_GB2312" w:hAnsi="仿宋_GB2312" w:eastAsia="仿宋_GB2312" w:cs="仿宋_GB2312"/>
                <w:color w:val="000000"/>
                <w:kern w:val="0"/>
                <w:sz w:val="18"/>
                <w:szCs w:val="18"/>
                <w:highlight w:val="none"/>
              </w:rPr>
              <w:t>柳城县</w:t>
            </w:r>
            <w:r>
              <w:rPr>
                <w:rFonts w:hint="eastAsia" w:ascii="仿宋_GB2312" w:hAnsi="仿宋_GB2312" w:eastAsia="仿宋_GB2312" w:cs="仿宋_GB2312"/>
                <w:color w:val="000000"/>
                <w:kern w:val="0"/>
                <w:sz w:val="18"/>
                <w:szCs w:val="18"/>
                <w:highlight w:val="none"/>
                <w:lang w:eastAsia="zh-CN"/>
              </w:rPr>
              <w:t>行政审批局</w:t>
            </w:r>
          </w:p>
        </w:tc>
        <w:tc>
          <w:tcPr>
            <w:tcW w:w="1524" w:type="dxa"/>
            <w:vAlign w:val="center"/>
          </w:tcPr>
          <w:p>
            <w:pPr>
              <w:widowControl/>
              <w:textAlignment w:val="center"/>
              <w:rPr>
                <w:rFonts w:hint="eastAsia" w:ascii="仿宋_GB2312" w:hAnsi="仿宋_GB2312" w:eastAsia="仿宋_GB2312" w:cs="仿宋_GB2312"/>
                <w:color w:val="000000"/>
                <w:kern w:val="0"/>
                <w:sz w:val="18"/>
                <w:szCs w:val="18"/>
                <w:highlight w:val="none"/>
              </w:rPr>
            </w:pPr>
            <w:r>
              <w:rPr>
                <w:rFonts w:hint="eastAsia" w:ascii="仿宋_GB2312" w:hAnsi="宋体" w:eastAsia="仿宋_GB2312"/>
                <w:sz w:val="18"/>
                <w:szCs w:val="18"/>
                <w:highlight w:val="none"/>
              </w:rPr>
              <w:t>■</w:t>
            </w:r>
            <w:r>
              <w:rPr>
                <w:rFonts w:hint="eastAsia" w:ascii="仿宋_GB2312" w:hAnsi="仿宋_GB2312" w:eastAsia="仿宋_GB2312" w:cs="仿宋_GB2312"/>
                <w:color w:val="000000"/>
                <w:kern w:val="0"/>
                <w:sz w:val="18"/>
                <w:szCs w:val="18"/>
                <w:highlight w:val="none"/>
              </w:rPr>
              <w:t>政府网站</w:t>
            </w:r>
          </w:p>
          <w:p>
            <w:pPr>
              <w:widowControl/>
              <w:textAlignment w:val="center"/>
              <w:rPr>
                <w:rFonts w:ascii="仿宋_GB2312" w:hAnsi="仿宋_GB2312" w:eastAsia="仿宋_GB2312" w:cs="仿宋_GB2312"/>
                <w:sz w:val="18"/>
                <w:szCs w:val="18"/>
                <w:highlight w:val="none"/>
              </w:rPr>
            </w:pPr>
            <w:r>
              <w:rPr>
                <w:rFonts w:hint="eastAsia" w:ascii="仿宋_GB2312" w:hAnsi="宋体" w:eastAsia="仿宋_GB2312"/>
                <w:sz w:val="18"/>
                <w:szCs w:val="18"/>
                <w:highlight w:val="none"/>
              </w:rPr>
              <w:t>■公开查询点</w:t>
            </w:r>
          </w:p>
        </w:tc>
        <w:tc>
          <w:tcPr>
            <w:tcW w:w="60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840" w:type="dxa"/>
            <w:vAlign w:val="center"/>
          </w:tcPr>
          <w:p>
            <w:pPr>
              <w:jc w:val="center"/>
              <w:rPr>
                <w:rFonts w:ascii="仿宋_GB2312" w:hAnsi="仿宋_GB2312" w:eastAsia="仿宋_GB2312" w:cs="仿宋_GB2312"/>
                <w:sz w:val="18"/>
                <w:szCs w:val="18"/>
                <w:highlight w:val="none"/>
              </w:rPr>
            </w:pPr>
          </w:p>
        </w:tc>
        <w:tc>
          <w:tcPr>
            <w:tcW w:w="615"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690" w:type="dxa"/>
            <w:vAlign w:val="center"/>
          </w:tcPr>
          <w:p>
            <w:pPr>
              <w:jc w:val="center"/>
              <w:rPr>
                <w:rFonts w:ascii="仿宋_GB2312" w:hAnsi="仿宋_GB2312" w:eastAsia="仿宋_GB2312" w:cs="仿宋_GB2312"/>
                <w:sz w:val="18"/>
                <w:szCs w:val="18"/>
                <w:highlight w:val="none"/>
              </w:rPr>
            </w:pPr>
          </w:p>
        </w:tc>
        <w:tc>
          <w:tcPr>
            <w:tcW w:w="51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707" w:type="dxa"/>
            <w:vAlign w:val="center"/>
          </w:tcPr>
          <w:p>
            <w:pPr>
              <w:jc w:val="center"/>
              <w:rPr>
                <w:rFonts w:ascii="仿宋_GB2312" w:hAnsi="仿宋_GB2312" w:eastAsia="仿宋_GB2312" w:cs="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578" w:type="dxa"/>
            <w:vAlign w:val="center"/>
          </w:tcPr>
          <w:p>
            <w:pPr>
              <w:widowControl/>
              <w:jc w:val="center"/>
              <w:textAlignment w:val="center"/>
              <w:rPr>
                <w:rFonts w:hint="default" w:ascii="仿宋_GB2312" w:hAnsi="仿宋_GB2312" w:eastAsia="仿宋_GB2312" w:cs="仿宋_GB2312"/>
                <w:sz w:val="18"/>
                <w:szCs w:val="18"/>
                <w:highlight w:val="none"/>
                <w:lang w:val="en-US" w:eastAsia="zh-CN"/>
              </w:rPr>
            </w:pPr>
            <w:r>
              <w:rPr>
                <w:rFonts w:hint="eastAsia" w:ascii="仿宋_GB2312" w:hAnsi="仿宋_GB2312" w:eastAsia="仿宋_GB2312" w:cs="仿宋_GB2312"/>
                <w:sz w:val="18"/>
                <w:szCs w:val="18"/>
                <w:highlight w:val="none"/>
                <w:lang w:val="en-US" w:eastAsia="zh-CN"/>
              </w:rPr>
              <w:t>10</w:t>
            </w:r>
          </w:p>
        </w:tc>
        <w:tc>
          <w:tcPr>
            <w:tcW w:w="780" w:type="dxa"/>
            <w:vMerge w:val="continue"/>
            <w:vAlign w:val="center"/>
          </w:tcPr>
          <w:p>
            <w:pPr>
              <w:jc w:val="center"/>
              <w:rPr>
                <w:rFonts w:ascii="仿宋_GB2312" w:hAnsi="仿宋_GB2312" w:eastAsia="仿宋_GB2312" w:cs="仿宋_GB2312"/>
                <w:sz w:val="18"/>
                <w:szCs w:val="18"/>
                <w:highlight w:val="none"/>
              </w:rPr>
            </w:pPr>
          </w:p>
        </w:tc>
        <w:tc>
          <w:tcPr>
            <w:tcW w:w="798"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改变绿化规划、绿化用地的使用性质审批</w:t>
            </w:r>
          </w:p>
        </w:tc>
        <w:tc>
          <w:tcPr>
            <w:tcW w:w="162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申请条件、</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申请材料、</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申请流程、</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法定依据。</w:t>
            </w:r>
          </w:p>
        </w:tc>
        <w:tc>
          <w:tcPr>
            <w:tcW w:w="256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《国务院对确需保留的行政审批项目设定行政许可的决定》《政府信息公开条例》</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w:t>
            </w:r>
          </w:p>
        </w:tc>
        <w:tc>
          <w:tcPr>
            <w:tcW w:w="1275"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 w:eastAsia="仿宋_GB2312"/>
                <w:color w:val="000000"/>
                <w:sz w:val="18"/>
                <w:szCs w:val="18"/>
                <w:highlight w:val="none"/>
              </w:rPr>
              <w:t>信息形成或者变更之日起20个工作日内</w:t>
            </w:r>
            <w:r>
              <w:rPr>
                <w:rFonts w:hint="eastAsia" w:ascii="仿宋_GB2312" w:hAnsi="仿宋" w:eastAsia="仿宋_GB2312"/>
                <w:color w:val="000000"/>
                <w:sz w:val="18"/>
                <w:szCs w:val="18"/>
                <w:highlight w:val="none"/>
                <w:lang w:eastAsia="zh-CN"/>
              </w:rPr>
              <w:t>，</w:t>
            </w:r>
            <w:r>
              <w:rPr>
                <w:rFonts w:hint="eastAsia" w:ascii="仿宋_GB2312" w:hAnsi="Times New Roman" w:eastAsia="仿宋_GB2312"/>
                <w:color w:val="auto"/>
                <w:sz w:val="18"/>
                <w:szCs w:val="18"/>
                <w:highlight w:val="none"/>
              </w:rPr>
              <w:t>其中行政许可事项应自作出行政决定之日起7个工作日内公示</w:t>
            </w:r>
          </w:p>
        </w:tc>
        <w:tc>
          <w:tcPr>
            <w:tcW w:w="1236"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柳城县</w:t>
            </w:r>
            <w:r>
              <w:rPr>
                <w:rFonts w:hint="eastAsia" w:ascii="仿宋_GB2312" w:hAnsi="仿宋_GB2312" w:eastAsia="仿宋_GB2312" w:cs="仿宋_GB2312"/>
                <w:color w:val="000000"/>
                <w:kern w:val="0"/>
                <w:sz w:val="18"/>
                <w:szCs w:val="18"/>
                <w:highlight w:val="none"/>
                <w:lang w:eastAsia="zh-CN"/>
              </w:rPr>
              <w:t>行政审批局</w:t>
            </w:r>
          </w:p>
        </w:tc>
        <w:tc>
          <w:tcPr>
            <w:tcW w:w="1524" w:type="dxa"/>
            <w:vAlign w:val="center"/>
          </w:tcPr>
          <w:p>
            <w:pPr>
              <w:widowControl/>
              <w:textAlignment w:val="center"/>
              <w:rPr>
                <w:rFonts w:hint="eastAsia" w:ascii="仿宋_GB2312" w:hAnsi="仿宋_GB2312" w:eastAsia="仿宋_GB2312" w:cs="仿宋_GB2312"/>
                <w:color w:val="000000"/>
                <w:kern w:val="0"/>
                <w:sz w:val="18"/>
                <w:szCs w:val="18"/>
                <w:highlight w:val="none"/>
              </w:rPr>
            </w:pPr>
            <w:r>
              <w:rPr>
                <w:rFonts w:hint="eastAsia" w:ascii="仿宋_GB2312" w:hAnsi="宋体" w:eastAsia="仿宋_GB2312"/>
                <w:sz w:val="18"/>
                <w:szCs w:val="18"/>
                <w:highlight w:val="none"/>
              </w:rPr>
              <w:t>■</w:t>
            </w:r>
            <w:r>
              <w:rPr>
                <w:rFonts w:hint="eastAsia" w:ascii="仿宋_GB2312" w:hAnsi="仿宋_GB2312" w:eastAsia="仿宋_GB2312" w:cs="仿宋_GB2312"/>
                <w:color w:val="000000"/>
                <w:kern w:val="0"/>
                <w:sz w:val="18"/>
                <w:szCs w:val="18"/>
                <w:highlight w:val="none"/>
              </w:rPr>
              <w:t>政府网站</w:t>
            </w:r>
          </w:p>
          <w:p>
            <w:pPr>
              <w:widowControl/>
              <w:textAlignment w:val="center"/>
              <w:rPr>
                <w:rFonts w:ascii="仿宋_GB2312" w:hAnsi="仿宋_GB2312" w:eastAsia="仿宋_GB2312" w:cs="仿宋_GB2312"/>
                <w:sz w:val="18"/>
                <w:szCs w:val="18"/>
                <w:highlight w:val="none"/>
              </w:rPr>
            </w:pPr>
            <w:r>
              <w:rPr>
                <w:rFonts w:hint="eastAsia" w:ascii="仿宋_GB2312" w:hAnsi="宋体" w:eastAsia="仿宋_GB2312"/>
                <w:sz w:val="18"/>
                <w:szCs w:val="18"/>
                <w:highlight w:val="none"/>
              </w:rPr>
              <w:t>■公开查询点</w:t>
            </w:r>
          </w:p>
        </w:tc>
        <w:tc>
          <w:tcPr>
            <w:tcW w:w="60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840" w:type="dxa"/>
            <w:vAlign w:val="center"/>
          </w:tcPr>
          <w:p>
            <w:pPr>
              <w:jc w:val="center"/>
              <w:rPr>
                <w:rFonts w:ascii="仿宋_GB2312" w:hAnsi="仿宋_GB2312" w:eastAsia="仿宋_GB2312" w:cs="仿宋_GB2312"/>
                <w:sz w:val="18"/>
                <w:szCs w:val="18"/>
                <w:highlight w:val="none"/>
              </w:rPr>
            </w:pPr>
          </w:p>
        </w:tc>
        <w:tc>
          <w:tcPr>
            <w:tcW w:w="615"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690" w:type="dxa"/>
            <w:vAlign w:val="center"/>
          </w:tcPr>
          <w:p>
            <w:pPr>
              <w:jc w:val="center"/>
              <w:rPr>
                <w:rFonts w:ascii="仿宋_GB2312" w:hAnsi="仿宋_GB2312" w:eastAsia="仿宋_GB2312" w:cs="仿宋_GB2312"/>
                <w:sz w:val="18"/>
                <w:szCs w:val="18"/>
                <w:highlight w:val="none"/>
              </w:rPr>
            </w:pPr>
          </w:p>
        </w:tc>
        <w:tc>
          <w:tcPr>
            <w:tcW w:w="51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707" w:type="dxa"/>
            <w:vAlign w:val="center"/>
          </w:tcPr>
          <w:p>
            <w:pPr>
              <w:jc w:val="center"/>
              <w:rPr>
                <w:rFonts w:ascii="仿宋_GB2312" w:hAnsi="仿宋_GB2312" w:eastAsia="仿宋_GB2312" w:cs="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578" w:type="dxa"/>
            <w:vAlign w:val="center"/>
          </w:tcPr>
          <w:p>
            <w:pPr>
              <w:widowControl/>
              <w:jc w:val="center"/>
              <w:textAlignment w:val="center"/>
              <w:rPr>
                <w:rFonts w:hint="eastAsia" w:ascii="仿宋_GB2312" w:hAnsi="仿宋_GB2312" w:eastAsia="仿宋_GB2312" w:cs="仿宋_GB2312"/>
                <w:sz w:val="18"/>
                <w:szCs w:val="18"/>
                <w:highlight w:val="none"/>
                <w:lang w:val="en-US" w:eastAsia="zh-CN"/>
              </w:rPr>
            </w:pPr>
            <w:r>
              <w:rPr>
                <w:rFonts w:hint="eastAsia" w:ascii="仿宋_GB2312" w:hAnsi="仿宋_GB2312" w:eastAsia="仿宋_GB2312" w:cs="仿宋_GB2312"/>
                <w:sz w:val="18"/>
                <w:szCs w:val="18"/>
                <w:highlight w:val="none"/>
              </w:rPr>
              <w:t>1</w:t>
            </w:r>
            <w:r>
              <w:rPr>
                <w:rFonts w:hint="eastAsia" w:ascii="仿宋_GB2312" w:hAnsi="仿宋_GB2312" w:eastAsia="仿宋_GB2312" w:cs="仿宋_GB2312"/>
                <w:sz w:val="18"/>
                <w:szCs w:val="18"/>
                <w:highlight w:val="none"/>
                <w:lang w:val="en-US" w:eastAsia="zh-CN"/>
              </w:rPr>
              <w:t>1</w:t>
            </w:r>
          </w:p>
        </w:tc>
        <w:tc>
          <w:tcPr>
            <w:tcW w:w="780" w:type="dxa"/>
            <w:vMerge w:val="continue"/>
            <w:vAlign w:val="center"/>
          </w:tcPr>
          <w:p>
            <w:pPr>
              <w:jc w:val="center"/>
              <w:rPr>
                <w:rFonts w:ascii="仿宋_GB2312" w:hAnsi="仿宋_GB2312" w:eastAsia="仿宋_GB2312" w:cs="仿宋_GB2312"/>
                <w:sz w:val="18"/>
                <w:szCs w:val="18"/>
                <w:highlight w:val="none"/>
              </w:rPr>
            </w:pPr>
          </w:p>
        </w:tc>
        <w:tc>
          <w:tcPr>
            <w:tcW w:w="798"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对建设项目绿化用地面积占建设工程总用地面积的比例达不到批准标准的处罚</w:t>
            </w:r>
          </w:p>
        </w:tc>
        <w:tc>
          <w:tcPr>
            <w:tcW w:w="1620"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1、机构职能、权责清单、执法人员名单；</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2、执法程序或者行政强制流程图；</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3、执法依据；</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4、执法机关、执法对象、执法类别、执法结论</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5、行政处罚自由裁量权；</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6、咨询、监督投诉方式；</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7、处罚决定；</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8、救济渠道。</w:t>
            </w:r>
          </w:p>
        </w:tc>
        <w:tc>
          <w:tcPr>
            <w:tcW w:w="256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《柳州市城市绿化管理条例》</w:t>
            </w:r>
          </w:p>
        </w:tc>
        <w:tc>
          <w:tcPr>
            <w:tcW w:w="127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1、执法机关、执法对象、执法类别、执法结论等信息：在执法决定做出之日起20个工作日内。</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2、执法决定信息：执法决定作出之日起7个工作日内</w:t>
            </w:r>
          </w:p>
        </w:tc>
        <w:tc>
          <w:tcPr>
            <w:tcW w:w="1236"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柳城县城市管理行政执法局</w:t>
            </w:r>
          </w:p>
        </w:tc>
        <w:tc>
          <w:tcPr>
            <w:tcW w:w="1524" w:type="dxa"/>
            <w:vAlign w:val="center"/>
          </w:tcPr>
          <w:p>
            <w:pPr>
              <w:widowControl/>
              <w:textAlignment w:val="center"/>
              <w:rPr>
                <w:rFonts w:ascii="仿宋_GB2312" w:hAnsi="仿宋_GB2312" w:eastAsia="仿宋_GB2312" w:cs="仿宋_GB2312"/>
                <w:sz w:val="18"/>
                <w:szCs w:val="18"/>
                <w:highlight w:val="none"/>
              </w:rPr>
            </w:pPr>
            <w:r>
              <w:rPr>
                <w:rFonts w:hint="eastAsia" w:ascii="仿宋_GB2312" w:hAnsi="宋体" w:eastAsia="仿宋_GB2312"/>
                <w:sz w:val="18"/>
                <w:szCs w:val="18"/>
                <w:highlight w:val="none"/>
              </w:rPr>
              <w:t>■</w:t>
            </w:r>
            <w:r>
              <w:rPr>
                <w:rFonts w:hint="eastAsia" w:ascii="仿宋_GB2312" w:hAnsi="仿宋_GB2312" w:eastAsia="仿宋_GB2312" w:cs="仿宋_GB2312"/>
                <w:color w:val="000000"/>
                <w:kern w:val="0"/>
                <w:sz w:val="18"/>
                <w:szCs w:val="18"/>
                <w:highlight w:val="none"/>
              </w:rPr>
              <w:t>政府网站</w:t>
            </w:r>
          </w:p>
        </w:tc>
        <w:tc>
          <w:tcPr>
            <w:tcW w:w="60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840" w:type="dxa"/>
            <w:vAlign w:val="center"/>
          </w:tcPr>
          <w:p>
            <w:pPr>
              <w:jc w:val="center"/>
              <w:rPr>
                <w:rFonts w:ascii="仿宋_GB2312" w:hAnsi="仿宋_GB2312" w:eastAsia="仿宋_GB2312" w:cs="仿宋_GB2312"/>
                <w:sz w:val="18"/>
                <w:szCs w:val="18"/>
                <w:highlight w:val="none"/>
              </w:rPr>
            </w:pPr>
          </w:p>
        </w:tc>
        <w:tc>
          <w:tcPr>
            <w:tcW w:w="615"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690" w:type="dxa"/>
            <w:vAlign w:val="center"/>
          </w:tcPr>
          <w:p>
            <w:pPr>
              <w:jc w:val="center"/>
              <w:rPr>
                <w:rFonts w:ascii="仿宋_GB2312" w:hAnsi="仿宋_GB2312" w:eastAsia="仿宋_GB2312" w:cs="仿宋_GB2312"/>
                <w:sz w:val="18"/>
                <w:szCs w:val="18"/>
                <w:highlight w:val="none"/>
              </w:rPr>
            </w:pPr>
          </w:p>
        </w:tc>
        <w:tc>
          <w:tcPr>
            <w:tcW w:w="51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707" w:type="dxa"/>
            <w:vAlign w:val="center"/>
          </w:tcPr>
          <w:p>
            <w:pPr>
              <w:jc w:val="center"/>
              <w:rPr>
                <w:rFonts w:ascii="仿宋_GB2312" w:hAnsi="仿宋_GB2312" w:eastAsia="仿宋_GB2312" w:cs="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578" w:type="dxa"/>
            <w:vAlign w:val="center"/>
          </w:tcPr>
          <w:p>
            <w:pPr>
              <w:widowControl/>
              <w:jc w:val="center"/>
              <w:textAlignment w:val="center"/>
              <w:rPr>
                <w:rFonts w:hint="eastAsia" w:ascii="仿宋_GB2312" w:hAnsi="仿宋_GB2312" w:eastAsia="仿宋_GB2312" w:cs="仿宋_GB2312"/>
                <w:sz w:val="18"/>
                <w:szCs w:val="18"/>
                <w:highlight w:val="none"/>
                <w:lang w:val="en-US" w:eastAsia="zh-CN"/>
              </w:rPr>
            </w:pPr>
            <w:r>
              <w:rPr>
                <w:rFonts w:hint="eastAsia" w:ascii="仿宋_GB2312" w:hAnsi="仿宋_GB2312" w:eastAsia="仿宋_GB2312" w:cs="仿宋_GB2312"/>
                <w:sz w:val="18"/>
                <w:szCs w:val="18"/>
                <w:highlight w:val="none"/>
              </w:rPr>
              <w:t>1</w:t>
            </w:r>
            <w:r>
              <w:rPr>
                <w:rFonts w:hint="eastAsia" w:ascii="仿宋_GB2312" w:hAnsi="仿宋_GB2312" w:eastAsia="仿宋_GB2312" w:cs="仿宋_GB2312"/>
                <w:sz w:val="18"/>
                <w:szCs w:val="18"/>
                <w:highlight w:val="none"/>
                <w:lang w:val="en-US" w:eastAsia="zh-CN"/>
              </w:rPr>
              <w:t>2</w:t>
            </w:r>
          </w:p>
        </w:tc>
        <w:tc>
          <w:tcPr>
            <w:tcW w:w="780" w:type="dxa"/>
            <w:vMerge w:val="continue"/>
            <w:vAlign w:val="center"/>
          </w:tcPr>
          <w:p>
            <w:pPr>
              <w:jc w:val="center"/>
              <w:rPr>
                <w:rFonts w:ascii="仿宋_GB2312" w:hAnsi="仿宋_GB2312" w:eastAsia="仿宋_GB2312" w:cs="仿宋_GB2312"/>
                <w:sz w:val="18"/>
                <w:szCs w:val="18"/>
                <w:highlight w:val="none"/>
              </w:rPr>
            </w:pPr>
          </w:p>
        </w:tc>
        <w:tc>
          <w:tcPr>
            <w:tcW w:w="798"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对建设单位未按规定将绿化工程相关竣工验收材料报市城市绿化行政主管部门备案的处罚</w:t>
            </w:r>
          </w:p>
        </w:tc>
        <w:tc>
          <w:tcPr>
            <w:tcW w:w="1620"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1、机构职能、权责清单、执法人员名单；</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2、执法程序或者行政强制流程图；</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3、执法依据；</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4、执法机关、执法对象、执法类别、执法结论</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5、行政处罚自由裁量权；</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6、咨询、监督投诉方式；</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7、处罚决定；</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8、救济渠道。</w:t>
            </w:r>
          </w:p>
        </w:tc>
        <w:tc>
          <w:tcPr>
            <w:tcW w:w="256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《柳州市城市绿化管理条例》</w:t>
            </w:r>
          </w:p>
        </w:tc>
        <w:tc>
          <w:tcPr>
            <w:tcW w:w="127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1、执法机关、执法对象、执法类别、执法结论等信息：在执法决定做出之日起20个工作日内。</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2、执法决定信息：执法决定作出之日起7个工作日内</w:t>
            </w:r>
          </w:p>
        </w:tc>
        <w:tc>
          <w:tcPr>
            <w:tcW w:w="1236"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柳城县城市管理行政执法局</w:t>
            </w:r>
          </w:p>
        </w:tc>
        <w:tc>
          <w:tcPr>
            <w:tcW w:w="1524" w:type="dxa"/>
            <w:vAlign w:val="center"/>
          </w:tcPr>
          <w:p>
            <w:pPr>
              <w:widowControl/>
              <w:textAlignment w:val="center"/>
              <w:rPr>
                <w:rFonts w:ascii="仿宋_GB2312" w:hAnsi="仿宋_GB2312" w:eastAsia="仿宋_GB2312" w:cs="仿宋_GB2312"/>
                <w:sz w:val="18"/>
                <w:szCs w:val="18"/>
                <w:highlight w:val="none"/>
              </w:rPr>
            </w:pPr>
            <w:r>
              <w:rPr>
                <w:rFonts w:hint="eastAsia" w:ascii="仿宋_GB2312" w:hAnsi="宋体" w:eastAsia="仿宋_GB2312"/>
                <w:sz w:val="18"/>
                <w:szCs w:val="18"/>
                <w:highlight w:val="none"/>
              </w:rPr>
              <w:t>■</w:t>
            </w:r>
            <w:r>
              <w:rPr>
                <w:rFonts w:hint="eastAsia" w:ascii="仿宋_GB2312" w:hAnsi="仿宋_GB2312" w:eastAsia="仿宋_GB2312" w:cs="仿宋_GB2312"/>
                <w:color w:val="000000"/>
                <w:kern w:val="0"/>
                <w:sz w:val="18"/>
                <w:szCs w:val="18"/>
                <w:highlight w:val="none"/>
              </w:rPr>
              <w:t>政府网站</w:t>
            </w:r>
          </w:p>
        </w:tc>
        <w:tc>
          <w:tcPr>
            <w:tcW w:w="60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840" w:type="dxa"/>
            <w:vAlign w:val="center"/>
          </w:tcPr>
          <w:p>
            <w:pPr>
              <w:jc w:val="center"/>
              <w:rPr>
                <w:rFonts w:ascii="仿宋_GB2312" w:hAnsi="仿宋_GB2312" w:eastAsia="仿宋_GB2312" w:cs="仿宋_GB2312"/>
                <w:sz w:val="18"/>
                <w:szCs w:val="18"/>
                <w:highlight w:val="none"/>
              </w:rPr>
            </w:pPr>
          </w:p>
        </w:tc>
        <w:tc>
          <w:tcPr>
            <w:tcW w:w="615"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690" w:type="dxa"/>
            <w:vAlign w:val="center"/>
          </w:tcPr>
          <w:p>
            <w:pPr>
              <w:jc w:val="center"/>
              <w:rPr>
                <w:rFonts w:ascii="仿宋_GB2312" w:hAnsi="仿宋_GB2312" w:eastAsia="仿宋_GB2312" w:cs="仿宋_GB2312"/>
                <w:sz w:val="18"/>
                <w:szCs w:val="18"/>
                <w:highlight w:val="none"/>
              </w:rPr>
            </w:pPr>
          </w:p>
        </w:tc>
        <w:tc>
          <w:tcPr>
            <w:tcW w:w="51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707" w:type="dxa"/>
            <w:vAlign w:val="center"/>
          </w:tcPr>
          <w:p>
            <w:pPr>
              <w:jc w:val="center"/>
              <w:rPr>
                <w:rFonts w:ascii="仿宋_GB2312" w:hAnsi="仿宋_GB2312" w:eastAsia="仿宋_GB2312" w:cs="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578" w:type="dxa"/>
            <w:vAlign w:val="center"/>
          </w:tcPr>
          <w:p>
            <w:pPr>
              <w:widowControl/>
              <w:jc w:val="center"/>
              <w:textAlignment w:val="center"/>
              <w:rPr>
                <w:rFonts w:hint="eastAsia" w:ascii="仿宋_GB2312" w:hAnsi="仿宋_GB2312" w:eastAsia="仿宋_GB2312" w:cs="仿宋_GB2312"/>
                <w:sz w:val="18"/>
                <w:szCs w:val="18"/>
                <w:highlight w:val="none"/>
                <w:lang w:val="en-US" w:eastAsia="zh-CN"/>
              </w:rPr>
            </w:pPr>
            <w:r>
              <w:rPr>
                <w:rFonts w:hint="eastAsia" w:ascii="仿宋_GB2312" w:hAnsi="仿宋_GB2312" w:eastAsia="仿宋_GB2312" w:cs="仿宋_GB2312"/>
                <w:sz w:val="18"/>
                <w:szCs w:val="18"/>
                <w:highlight w:val="none"/>
              </w:rPr>
              <w:t>1</w:t>
            </w:r>
            <w:r>
              <w:rPr>
                <w:rFonts w:hint="eastAsia" w:ascii="仿宋_GB2312" w:hAnsi="仿宋_GB2312" w:eastAsia="仿宋_GB2312" w:cs="仿宋_GB2312"/>
                <w:sz w:val="18"/>
                <w:szCs w:val="18"/>
                <w:highlight w:val="none"/>
                <w:lang w:val="en-US" w:eastAsia="zh-CN"/>
              </w:rPr>
              <w:t>3</w:t>
            </w:r>
          </w:p>
        </w:tc>
        <w:tc>
          <w:tcPr>
            <w:tcW w:w="780" w:type="dxa"/>
            <w:vMerge w:val="continue"/>
            <w:vAlign w:val="center"/>
          </w:tcPr>
          <w:p>
            <w:pPr>
              <w:jc w:val="center"/>
              <w:rPr>
                <w:rFonts w:ascii="仿宋_GB2312" w:hAnsi="仿宋_GB2312" w:eastAsia="仿宋_GB2312" w:cs="仿宋_GB2312"/>
                <w:sz w:val="18"/>
                <w:szCs w:val="18"/>
                <w:highlight w:val="none"/>
              </w:rPr>
            </w:pPr>
          </w:p>
        </w:tc>
        <w:tc>
          <w:tcPr>
            <w:tcW w:w="798"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对擅自改变城市绿化用地性质的处罚</w:t>
            </w:r>
          </w:p>
        </w:tc>
        <w:tc>
          <w:tcPr>
            <w:tcW w:w="1620"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1、机构职能、权责清单、执法人员名单；</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2、执法程序或者行政强制流程图；</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3、执法依据；</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4、执法机关、执法对象、执法类别、执法结论</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5、行政处罚自由裁量权；</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6、咨询、监督投诉方式；</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7、处罚决定；</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8、救济渠道。</w:t>
            </w:r>
          </w:p>
        </w:tc>
        <w:tc>
          <w:tcPr>
            <w:tcW w:w="256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《柳州市城市绿化管理条例》</w:t>
            </w:r>
          </w:p>
        </w:tc>
        <w:tc>
          <w:tcPr>
            <w:tcW w:w="127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1、执法机关、执法对象、执法类别、执法结论等信息：在执法决定做出之日起20个工作日内。</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2、执法决定信息：执法决定作出之日起7个工作日内</w:t>
            </w:r>
          </w:p>
        </w:tc>
        <w:tc>
          <w:tcPr>
            <w:tcW w:w="1236"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柳城县城市管理行政执法局</w:t>
            </w:r>
          </w:p>
        </w:tc>
        <w:tc>
          <w:tcPr>
            <w:tcW w:w="1524" w:type="dxa"/>
            <w:vAlign w:val="center"/>
          </w:tcPr>
          <w:p>
            <w:pPr>
              <w:widowControl/>
              <w:textAlignment w:val="center"/>
              <w:rPr>
                <w:rFonts w:ascii="仿宋_GB2312" w:hAnsi="仿宋_GB2312" w:eastAsia="仿宋_GB2312" w:cs="仿宋_GB2312"/>
                <w:sz w:val="18"/>
                <w:szCs w:val="18"/>
                <w:highlight w:val="none"/>
              </w:rPr>
            </w:pPr>
            <w:r>
              <w:rPr>
                <w:rFonts w:hint="eastAsia" w:ascii="仿宋_GB2312" w:hAnsi="宋体" w:eastAsia="仿宋_GB2312"/>
                <w:sz w:val="18"/>
                <w:szCs w:val="18"/>
                <w:highlight w:val="none"/>
              </w:rPr>
              <w:t>■</w:t>
            </w:r>
            <w:r>
              <w:rPr>
                <w:rFonts w:hint="eastAsia" w:ascii="仿宋_GB2312" w:hAnsi="仿宋_GB2312" w:eastAsia="仿宋_GB2312" w:cs="仿宋_GB2312"/>
                <w:color w:val="000000"/>
                <w:kern w:val="0"/>
                <w:sz w:val="18"/>
                <w:szCs w:val="18"/>
                <w:highlight w:val="none"/>
              </w:rPr>
              <w:t>政府网站</w:t>
            </w:r>
          </w:p>
        </w:tc>
        <w:tc>
          <w:tcPr>
            <w:tcW w:w="60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840" w:type="dxa"/>
            <w:vAlign w:val="center"/>
          </w:tcPr>
          <w:p>
            <w:pPr>
              <w:jc w:val="center"/>
              <w:rPr>
                <w:rFonts w:ascii="仿宋_GB2312" w:hAnsi="仿宋_GB2312" w:eastAsia="仿宋_GB2312" w:cs="仿宋_GB2312"/>
                <w:sz w:val="18"/>
                <w:szCs w:val="18"/>
                <w:highlight w:val="none"/>
              </w:rPr>
            </w:pPr>
          </w:p>
        </w:tc>
        <w:tc>
          <w:tcPr>
            <w:tcW w:w="615"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690" w:type="dxa"/>
            <w:vAlign w:val="center"/>
          </w:tcPr>
          <w:p>
            <w:pPr>
              <w:jc w:val="center"/>
              <w:rPr>
                <w:rFonts w:ascii="仿宋_GB2312" w:hAnsi="仿宋_GB2312" w:eastAsia="仿宋_GB2312" w:cs="仿宋_GB2312"/>
                <w:sz w:val="18"/>
                <w:szCs w:val="18"/>
                <w:highlight w:val="none"/>
              </w:rPr>
            </w:pPr>
          </w:p>
        </w:tc>
        <w:tc>
          <w:tcPr>
            <w:tcW w:w="51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707" w:type="dxa"/>
            <w:vAlign w:val="center"/>
          </w:tcPr>
          <w:p>
            <w:pPr>
              <w:jc w:val="center"/>
              <w:rPr>
                <w:rFonts w:ascii="仿宋_GB2312" w:hAnsi="仿宋_GB2312" w:eastAsia="仿宋_GB2312" w:cs="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578" w:type="dxa"/>
            <w:vAlign w:val="center"/>
          </w:tcPr>
          <w:p>
            <w:pPr>
              <w:widowControl/>
              <w:jc w:val="center"/>
              <w:textAlignment w:val="center"/>
              <w:rPr>
                <w:rFonts w:hint="eastAsia" w:ascii="仿宋_GB2312" w:hAnsi="仿宋_GB2312" w:eastAsia="仿宋_GB2312" w:cs="仿宋_GB2312"/>
                <w:sz w:val="18"/>
                <w:szCs w:val="18"/>
                <w:highlight w:val="none"/>
                <w:lang w:val="en-US" w:eastAsia="zh-CN"/>
              </w:rPr>
            </w:pPr>
            <w:r>
              <w:rPr>
                <w:rFonts w:hint="eastAsia" w:ascii="仿宋_GB2312" w:hAnsi="仿宋_GB2312" w:eastAsia="仿宋_GB2312" w:cs="仿宋_GB2312"/>
                <w:sz w:val="18"/>
                <w:szCs w:val="18"/>
                <w:highlight w:val="none"/>
              </w:rPr>
              <w:t>1</w:t>
            </w:r>
            <w:r>
              <w:rPr>
                <w:rFonts w:hint="eastAsia" w:ascii="仿宋_GB2312" w:hAnsi="仿宋_GB2312" w:eastAsia="仿宋_GB2312" w:cs="仿宋_GB2312"/>
                <w:sz w:val="18"/>
                <w:szCs w:val="18"/>
                <w:highlight w:val="none"/>
                <w:lang w:val="en-US" w:eastAsia="zh-CN"/>
              </w:rPr>
              <w:t>4</w:t>
            </w:r>
          </w:p>
        </w:tc>
        <w:tc>
          <w:tcPr>
            <w:tcW w:w="780" w:type="dxa"/>
            <w:vMerge w:val="continue"/>
            <w:vAlign w:val="center"/>
          </w:tcPr>
          <w:p>
            <w:pPr>
              <w:jc w:val="center"/>
              <w:rPr>
                <w:rFonts w:ascii="仿宋_GB2312" w:hAnsi="仿宋_GB2312" w:eastAsia="仿宋_GB2312" w:cs="仿宋_GB2312"/>
                <w:sz w:val="18"/>
                <w:szCs w:val="18"/>
                <w:highlight w:val="none"/>
              </w:rPr>
            </w:pPr>
          </w:p>
        </w:tc>
        <w:tc>
          <w:tcPr>
            <w:tcW w:w="798"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对未经批准或者超越批准期限占用城市绿地的处罚</w:t>
            </w:r>
          </w:p>
        </w:tc>
        <w:tc>
          <w:tcPr>
            <w:tcW w:w="1620"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1、机构职能、权责清单、执法人员名单；</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2、执法程序或者行政强制流程图；</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3、执法依据；</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4、执法机关、执法对象、执法类别、执法结论</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5、行政处罚自由裁量权；</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6、咨询、监督投诉方式；</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7、处罚决定；</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8、救济渠道。</w:t>
            </w:r>
          </w:p>
        </w:tc>
        <w:tc>
          <w:tcPr>
            <w:tcW w:w="256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《柳州市城市绿化管理条例》</w:t>
            </w:r>
          </w:p>
        </w:tc>
        <w:tc>
          <w:tcPr>
            <w:tcW w:w="127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1、执法机关、执法对象、执法类别、执法结论等信息：在执法决定做出之日起20个工作日内。</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2、执法决定信息：执法决定作出之日起7个工作日内</w:t>
            </w:r>
          </w:p>
        </w:tc>
        <w:tc>
          <w:tcPr>
            <w:tcW w:w="1236"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柳城县城市管理行政执法局</w:t>
            </w:r>
          </w:p>
        </w:tc>
        <w:tc>
          <w:tcPr>
            <w:tcW w:w="1524" w:type="dxa"/>
            <w:vAlign w:val="center"/>
          </w:tcPr>
          <w:p>
            <w:pPr>
              <w:widowControl/>
              <w:textAlignment w:val="center"/>
              <w:rPr>
                <w:rFonts w:ascii="仿宋_GB2312" w:hAnsi="仿宋_GB2312" w:eastAsia="仿宋_GB2312" w:cs="仿宋_GB2312"/>
                <w:sz w:val="18"/>
                <w:szCs w:val="18"/>
                <w:highlight w:val="none"/>
              </w:rPr>
            </w:pPr>
            <w:r>
              <w:rPr>
                <w:rFonts w:hint="eastAsia" w:ascii="仿宋_GB2312" w:hAnsi="宋体" w:eastAsia="仿宋_GB2312"/>
                <w:sz w:val="18"/>
                <w:szCs w:val="18"/>
                <w:highlight w:val="none"/>
              </w:rPr>
              <w:t>■</w:t>
            </w:r>
            <w:r>
              <w:rPr>
                <w:rFonts w:hint="eastAsia" w:ascii="仿宋_GB2312" w:hAnsi="仿宋_GB2312" w:eastAsia="仿宋_GB2312" w:cs="仿宋_GB2312"/>
                <w:color w:val="000000"/>
                <w:kern w:val="0"/>
                <w:sz w:val="18"/>
                <w:szCs w:val="18"/>
                <w:highlight w:val="none"/>
              </w:rPr>
              <w:t>政府网站</w:t>
            </w:r>
          </w:p>
        </w:tc>
        <w:tc>
          <w:tcPr>
            <w:tcW w:w="60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840" w:type="dxa"/>
            <w:vAlign w:val="center"/>
          </w:tcPr>
          <w:p>
            <w:pPr>
              <w:jc w:val="center"/>
              <w:rPr>
                <w:rFonts w:ascii="仿宋_GB2312" w:hAnsi="仿宋_GB2312" w:eastAsia="仿宋_GB2312" w:cs="仿宋_GB2312"/>
                <w:sz w:val="18"/>
                <w:szCs w:val="18"/>
                <w:highlight w:val="none"/>
              </w:rPr>
            </w:pPr>
          </w:p>
        </w:tc>
        <w:tc>
          <w:tcPr>
            <w:tcW w:w="615"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690" w:type="dxa"/>
            <w:vAlign w:val="center"/>
          </w:tcPr>
          <w:p>
            <w:pPr>
              <w:jc w:val="center"/>
              <w:rPr>
                <w:rFonts w:ascii="仿宋_GB2312" w:hAnsi="仿宋_GB2312" w:eastAsia="仿宋_GB2312" w:cs="仿宋_GB2312"/>
                <w:sz w:val="18"/>
                <w:szCs w:val="18"/>
                <w:highlight w:val="none"/>
              </w:rPr>
            </w:pPr>
          </w:p>
        </w:tc>
        <w:tc>
          <w:tcPr>
            <w:tcW w:w="51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707" w:type="dxa"/>
            <w:vAlign w:val="center"/>
          </w:tcPr>
          <w:p>
            <w:pPr>
              <w:jc w:val="center"/>
              <w:rPr>
                <w:rFonts w:ascii="仿宋_GB2312" w:hAnsi="仿宋_GB2312" w:eastAsia="仿宋_GB2312" w:cs="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578" w:type="dxa"/>
            <w:vAlign w:val="center"/>
          </w:tcPr>
          <w:p>
            <w:pPr>
              <w:widowControl/>
              <w:jc w:val="center"/>
              <w:textAlignment w:val="center"/>
              <w:rPr>
                <w:rFonts w:hint="eastAsia" w:ascii="仿宋_GB2312" w:hAnsi="仿宋_GB2312" w:eastAsia="仿宋_GB2312" w:cs="仿宋_GB2312"/>
                <w:sz w:val="18"/>
                <w:szCs w:val="18"/>
                <w:highlight w:val="none"/>
                <w:lang w:val="en-US" w:eastAsia="zh-CN"/>
              </w:rPr>
            </w:pPr>
            <w:r>
              <w:rPr>
                <w:rFonts w:hint="eastAsia" w:ascii="仿宋_GB2312" w:hAnsi="仿宋_GB2312" w:eastAsia="仿宋_GB2312" w:cs="仿宋_GB2312"/>
                <w:sz w:val="18"/>
                <w:szCs w:val="18"/>
                <w:highlight w:val="none"/>
              </w:rPr>
              <w:t>1</w:t>
            </w:r>
            <w:r>
              <w:rPr>
                <w:rFonts w:hint="eastAsia" w:ascii="仿宋_GB2312" w:hAnsi="仿宋_GB2312" w:eastAsia="仿宋_GB2312" w:cs="仿宋_GB2312"/>
                <w:sz w:val="18"/>
                <w:szCs w:val="18"/>
                <w:highlight w:val="none"/>
                <w:lang w:val="en-US" w:eastAsia="zh-CN"/>
              </w:rPr>
              <w:t>5</w:t>
            </w:r>
          </w:p>
        </w:tc>
        <w:tc>
          <w:tcPr>
            <w:tcW w:w="780" w:type="dxa"/>
            <w:vMerge w:val="continue"/>
            <w:vAlign w:val="center"/>
          </w:tcPr>
          <w:p>
            <w:pPr>
              <w:jc w:val="center"/>
              <w:rPr>
                <w:rFonts w:ascii="仿宋_GB2312" w:hAnsi="仿宋_GB2312" w:eastAsia="仿宋_GB2312" w:cs="仿宋_GB2312"/>
                <w:sz w:val="18"/>
                <w:szCs w:val="18"/>
                <w:highlight w:val="none"/>
              </w:rPr>
            </w:pPr>
          </w:p>
        </w:tc>
        <w:tc>
          <w:tcPr>
            <w:tcW w:w="798"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对违反《柳州市城市绿化条例》规定修剪树木的处罚</w:t>
            </w:r>
          </w:p>
        </w:tc>
        <w:tc>
          <w:tcPr>
            <w:tcW w:w="1620"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1、机构职能、权责清单、执法人员名单；</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2、执法程序或者行政强制流程图；</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3、执法依据；</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4、执法机关、执法对象、执法类别、执法结论</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5、行政处罚自由裁量权；</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6、咨询、监督投诉方式；</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7、处罚决定；</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8、救济渠道。</w:t>
            </w:r>
          </w:p>
        </w:tc>
        <w:tc>
          <w:tcPr>
            <w:tcW w:w="256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《柳州市城市绿化管理条例》</w:t>
            </w:r>
          </w:p>
        </w:tc>
        <w:tc>
          <w:tcPr>
            <w:tcW w:w="127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1、执法机关、执法对象、执法类别、执法结论等信息：在执法决定做出之日起20个工作日内。</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2、执法决定信息：执法决定作出之日起7个工作日内</w:t>
            </w:r>
          </w:p>
        </w:tc>
        <w:tc>
          <w:tcPr>
            <w:tcW w:w="1236"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柳城县城市管理行政执法局</w:t>
            </w:r>
          </w:p>
        </w:tc>
        <w:tc>
          <w:tcPr>
            <w:tcW w:w="1524" w:type="dxa"/>
            <w:vAlign w:val="center"/>
          </w:tcPr>
          <w:p>
            <w:pPr>
              <w:widowControl/>
              <w:textAlignment w:val="center"/>
              <w:rPr>
                <w:rFonts w:ascii="仿宋_GB2312" w:hAnsi="仿宋_GB2312" w:eastAsia="仿宋_GB2312" w:cs="仿宋_GB2312"/>
                <w:sz w:val="18"/>
                <w:szCs w:val="18"/>
                <w:highlight w:val="none"/>
              </w:rPr>
            </w:pPr>
            <w:r>
              <w:rPr>
                <w:rFonts w:hint="eastAsia" w:ascii="仿宋_GB2312" w:hAnsi="宋体" w:eastAsia="仿宋_GB2312"/>
                <w:sz w:val="18"/>
                <w:szCs w:val="18"/>
                <w:highlight w:val="none"/>
              </w:rPr>
              <w:t>■</w:t>
            </w:r>
            <w:r>
              <w:rPr>
                <w:rFonts w:hint="eastAsia" w:ascii="仿宋_GB2312" w:hAnsi="仿宋_GB2312" w:eastAsia="仿宋_GB2312" w:cs="仿宋_GB2312"/>
                <w:color w:val="000000"/>
                <w:kern w:val="0"/>
                <w:sz w:val="18"/>
                <w:szCs w:val="18"/>
                <w:highlight w:val="none"/>
              </w:rPr>
              <w:t>政府网站</w:t>
            </w:r>
          </w:p>
        </w:tc>
        <w:tc>
          <w:tcPr>
            <w:tcW w:w="60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840" w:type="dxa"/>
            <w:vAlign w:val="center"/>
          </w:tcPr>
          <w:p>
            <w:pPr>
              <w:jc w:val="center"/>
              <w:rPr>
                <w:rFonts w:ascii="仿宋_GB2312" w:hAnsi="仿宋_GB2312" w:eastAsia="仿宋_GB2312" w:cs="仿宋_GB2312"/>
                <w:sz w:val="18"/>
                <w:szCs w:val="18"/>
                <w:highlight w:val="none"/>
              </w:rPr>
            </w:pPr>
          </w:p>
        </w:tc>
        <w:tc>
          <w:tcPr>
            <w:tcW w:w="615"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690" w:type="dxa"/>
            <w:vAlign w:val="center"/>
          </w:tcPr>
          <w:p>
            <w:pPr>
              <w:jc w:val="center"/>
              <w:rPr>
                <w:rFonts w:ascii="仿宋_GB2312" w:hAnsi="仿宋_GB2312" w:eastAsia="仿宋_GB2312" w:cs="仿宋_GB2312"/>
                <w:sz w:val="18"/>
                <w:szCs w:val="18"/>
                <w:highlight w:val="none"/>
              </w:rPr>
            </w:pPr>
          </w:p>
        </w:tc>
        <w:tc>
          <w:tcPr>
            <w:tcW w:w="51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707" w:type="dxa"/>
            <w:vAlign w:val="center"/>
          </w:tcPr>
          <w:p>
            <w:pPr>
              <w:jc w:val="center"/>
              <w:rPr>
                <w:rFonts w:ascii="仿宋_GB2312" w:hAnsi="仿宋_GB2312" w:eastAsia="仿宋_GB2312" w:cs="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578" w:type="dxa"/>
            <w:vAlign w:val="center"/>
          </w:tcPr>
          <w:p>
            <w:pPr>
              <w:widowControl/>
              <w:jc w:val="center"/>
              <w:textAlignment w:val="center"/>
              <w:rPr>
                <w:rFonts w:hint="eastAsia" w:ascii="仿宋_GB2312" w:hAnsi="仿宋_GB2312" w:eastAsia="仿宋_GB2312" w:cs="仿宋_GB2312"/>
                <w:sz w:val="18"/>
                <w:szCs w:val="18"/>
                <w:highlight w:val="none"/>
                <w:lang w:val="en-US" w:eastAsia="zh-CN"/>
              </w:rPr>
            </w:pPr>
            <w:r>
              <w:rPr>
                <w:rFonts w:hint="eastAsia" w:ascii="仿宋_GB2312" w:hAnsi="仿宋_GB2312" w:eastAsia="仿宋_GB2312" w:cs="仿宋_GB2312"/>
                <w:color w:val="000000"/>
                <w:kern w:val="0"/>
                <w:sz w:val="18"/>
                <w:szCs w:val="18"/>
                <w:highlight w:val="none"/>
              </w:rPr>
              <w:t>1</w:t>
            </w:r>
            <w:r>
              <w:rPr>
                <w:rFonts w:hint="eastAsia" w:ascii="仿宋_GB2312" w:hAnsi="仿宋_GB2312" w:eastAsia="仿宋_GB2312" w:cs="仿宋_GB2312"/>
                <w:color w:val="000000"/>
                <w:kern w:val="0"/>
                <w:sz w:val="18"/>
                <w:szCs w:val="18"/>
                <w:highlight w:val="none"/>
                <w:lang w:val="en-US" w:eastAsia="zh-CN"/>
              </w:rPr>
              <w:t>6</w:t>
            </w:r>
          </w:p>
        </w:tc>
        <w:tc>
          <w:tcPr>
            <w:tcW w:w="780" w:type="dxa"/>
            <w:vMerge w:val="continue"/>
            <w:vAlign w:val="center"/>
          </w:tcPr>
          <w:p>
            <w:pPr>
              <w:jc w:val="center"/>
              <w:rPr>
                <w:rFonts w:ascii="仿宋_GB2312" w:hAnsi="仿宋_GB2312" w:eastAsia="仿宋_GB2312" w:cs="仿宋_GB2312"/>
                <w:sz w:val="18"/>
                <w:szCs w:val="18"/>
                <w:highlight w:val="none"/>
              </w:rPr>
            </w:pPr>
          </w:p>
        </w:tc>
        <w:tc>
          <w:tcPr>
            <w:tcW w:w="798"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对违反《柳州市城市绿化条例》规定擅自砍伐树木的处罚</w:t>
            </w:r>
          </w:p>
        </w:tc>
        <w:tc>
          <w:tcPr>
            <w:tcW w:w="1620"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1、机构职能、权责清单、执法人员名单；</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2、执法程序或者行政强制流程图；</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3、执法依据；</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4、执法机关、执法对象、执法类别、执法结论</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5、行政处罚自由裁量权；</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6、咨询、监督投诉方式；</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7、处罚决定；</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8、救济渠道。</w:t>
            </w:r>
          </w:p>
        </w:tc>
        <w:tc>
          <w:tcPr>
            <w:tcW w:w="256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《柳州市城市绿化管理条例》</w:t>
            </w:r>
          </w:p>
        </w:tc>
        <w:tc>
          <w:tcPr>
            <w:tcW w:w="127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1、执法机关、执法对象、执法类别、执法结论等信息：在执法决定做出之日起20个工作日内。</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2、执法决定信息：执法决定作出之日起7个工作日内</w:t>
            </w:r>
          </w:p>
        </w:tc>
        <w:tc>
          <w:tcPr>
            <w:tcW w:w="1236"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柳城县城市管理行政执法局</w:t>
            </w:r>
          </w:p>
        </w:tc>
        <w:tc>
          <w:tcPr>
            <w:tcW w:w="1524" w:type="dxa"/>
            <w:vAlign w:val="center"/>
          </w:tcPr>
          <w:p>
            <w:pPr>
              <w:widowControl/>
              <w:textAlignment w:val="center"/>
              <w:rPr>
                <w:rFonts w:ascii="仿宋_GB2312" w:hAnsi="仿宋_GB2312" w:eastAsia="仿宋_GB2312" w:cs="仿宋_GB2312"/>
                <w:sz w:val="18"/>
                <w:szCs w:val="18"/>
                <w:highlight w:val="none"/>
              </w:rPr>
            </w:pPr>
            <w:r>
              <w:rPr>
                <w:rFonts w:hint="eastAsia" w:ascii="仿宋_GB2312" w:hAnsi="宋体" w:eastAsia="仿宋_GB2312"/>
                <w:sz w:val="18"/>
                <w:szCs w:val="18"/>
                <w:highlight w:val="none"/>
              </w:rPr>
              <w:t>■</w:t>
            </w:r>
            <w:r>
              <w:rPr>
                <w:rFonts w:hint="eastAsia" w:ascii="仿宋_GB2312" w:hAnsi="仿宋_GB2312" w:eastAsia="仿宋_GB2312" w:cs="仿宋_GB2312"/>
                <w:color w:val="000000"/>
                <w:kern w:val="0"/>
                <w:sz w:val="18"/>
                <w:szCs w:val="18"/>
                <w:highlight w:val="none"/>
              </w:rPr>
              <w:t>政府网站</w:t>
            </w:r>
          </w:p>
        </w:tc>
        <w:tc>
          <w:tcPr>
            <w:tcW w:w="60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840" w:type="dxa"/>
            <w:vAlign w:val="center"/>
          </w:tcPr>
          <w:p>
            <w:pPr>
              <w:jc w:val="center"/>
              <w:rPr>
                <w:rFonts w:ascii="仿宋_GB2312" w:hAnsi="仿宋_GB2312" w:eastAsia="仿宋_GB2312" w:cs="仿宋_GB2312"/>
                <w:sz w:val="18"/>
                <w:szCs w:val="18"/>
                <w:highlight w:val="none"/>
              </w:rPr>
            </w:pPr>
          </w:p>
        </w:tc>
        <w:tc>
          <w:tcPr>
            <w:tcW w:w="615"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690" w:type="dxa"/>
            <w:vAlign w:val="center"/>
          </w:tcPr>
          <w:p>
            <w:pPr>
              <w:jc w:val="center"/>
              <w:rPr>
                <w:rFonts w:ascii="仿宋_GB2312" w:hAnsi="仿宋_GB2312" w:eastAsia="仿宋_GB2312" w:cs="仿宋_GB2312"/>
                <w:sz w:val="18"/>
                <w:szCs w:val="18"/>
                <w:highlight w:val="none"/>
              </w:rPr>
            </w:pPr>
          </w:p>
        </w:tc>
        <w:tc>
          <w:tcPr>
            <w:tcW w:w="51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707" w:type="dxa"/>
            <w:vAlign w:val="center"/>
          </w:tcPr>
          <w:p>
            <w:pPr>
              <w:jc w:val="center"/>
              <w:rPr>
                <w:rFonts w:ascii="仿宋_GB2312" w:hAnsi="仿宋_GB2312" w:eastAsia="仿宋_GB2312" w:cs="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578" w:type="dxa"/>
            <w:vAlign w:val="center"/>
          </w:tcPr>
          <w:p>
            <w:pPr>
              <w:widowControl/>
              <w:jc w:val="center"/>
              <w:textAlignment w:val="center"/>
              <w:rPr>
                <w:rFonts w:hint="eastAsia" w:ascii="仿宋_GB2312" w:hAnsi="仿宋_GB2312" w:eastAsia="仿宋_GB2312" w:cs="仿宋_GB2312"/>
                <w:sz w:val="18"/>
                <w:szCs w:val="18"/>
                <w:highlight w:val="none"/>
                <w:lang w:val="en-US" w:eastAsia="zh-CN"/>
              </w:rPr>
            </w:pPr>
            <w:r>
              <w:rPr>
                <w:rFonts w:hint="eastAsia" w:ascii="仿宋_GB2312" w:hAnsi="仿宋_GB2312" w:eastAsia="仿宋_GB2312" w:cs="仿宋_GB2312"/>
                <w:color w:val="000000"/>
                <w:kern w:val="0"/>
                <w:sz w:val="18"/>
                <w:szCs w:val="18"/>
                <w:highlight w:val="none"/>
              </w:rPr>
              <w:t>1</w:t>
            </w:r>
            <w:r>
              <w:rPr>
                <w:rFonts w:hint="eastAsia" w:ascii="仿宋_GB2312" w:hAnsi="仿宋_GB2312" w:eastAsia="仿宋_GB2312" w:cs="仿宋_GB2312"/>
                <w:color w:val="000000"/>
                <w:kern w:val="0"/>
                <w:sz w:val="18"/>
                <w:szCs w:val="18"/>
                <w:highlight w:val="none"/>
                <w:lang w:val="en-US" w:eastAsia="zh-CN"/>
              </w:rPr>
              <w:t>7</w:t>
            </w:r>
          </w:p>
        </w:tc>
        <w:tc>
          <w:tcPr>
            <w:tcW w:w="780" w:type="dxa"/>
            <w:vMerge w:val="continue"/>
            <w:vAlign w:val="center"/>
          </w:tcPr>
          <w:p>
            <w:pPr>
              <w:jc w:val="center"/>
              <w:rPr>
                <w:rFonts w:ascii="仿宋_GB2312" w:hAnsi="仿宋_GB2312" w:eastAsia="仿宋_GB2312" w:cs="仿宋_GB2312"/>
                <w:sz w:val="18"/>
                <w:szCs w:val="18"/>
                <w:highlight w:val="none"/>
              </w:rPr>
            </w:pPr>
          </w:p>
        </w:tc>
        <w:tc>
          <w:tcPr>
            <w:tcW w:w="798"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对借树木作为支撑物或者固定物，攀折、刻划树木，擅自采摘花果，践踏地被植物、剥损树皮、破坏植物根系等的处罚</w:t>
            </w:r>
          </w:p>
        </w:tc>
        <w:tc>
          <w:tcPr>
            <w:tcW w:w="1620"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1、机构职能、权责清单、执法人员名单；</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2、执法程序或者行政强制流程图；</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3、执法依据；</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4、执法机关、执法对象、执法类别、执法结论</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5、行政处罚自由裁量权；</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6、咨询、监督投诉方式；</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7、处罚决定；</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8、救济渠道。</w:t>
            </w:r>
          </w:p>
        </w:tc>
        <w:tc>
          <w:tcPr>
            <w:tcW w:w="256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《柳州市城市绿化管理条例》</w:t>
            </w:r>
          </w:p>
        </w:tc>
        <w:tc>
          <w:tcPr>
            <w:tcW w:w="127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1、执法机关、执法对象、执法类别、执法结论等信息：在执法决定做出之日起20个工作日内。</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2、执法决定信息：执法决定作出之日起7个工作日内</w:t>
            </w:r>
          </w:p>
        </w:tc>
        <w:tc>
          <w:tcPr>
            <w:tcW w:w="1236"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柳城县城市管理行政执法局</w:t>
            </w:r>
          </w:p>
        </w:tc>
        <w:tc>
          <w:tcPr>
            <w:tcW w:w="1524" w:type="dxa"/>
            <w:vAlign w:val="center"/>
          </w:tcPr>
          <w:p>
            <w:pPr>
              <w:widowControl/>
              <w:textAlignment w:val="center"/>
              <w:rPr>
                <w:rFonts w:ascii="仿宋_GB2312" w:hAnsi="仿宋_GB2312" w:eastAsia="仿宋_GB2312" w:cs="仿宋_GB2312"/>
                <w:sz w:val="18"/>
                <w:szCs w:val="18"/>
                <w:highlight w:val="none"/>
              </w:rPr>
            </w:pPr>
            <w:r>
              <w:rPr>
                <w:rFonts w:hint="eastAsia" w:ascii="仿宋_GB2312" w:hAnsi="宋体" w:eastAsia="仿宋_GB2312"/>
                <w:sz w:val="18"/>
                <w:szCs w:val="18"/>
                <w:highlight w:val="none"/>
              </w:rPr>
              <w:t>■</w:t>
            </w:r>
            <w:r>
              <w:rPr>
                <w:rFonts w:hint="eastAsia" w:ascii="仿宋_GB2312" w:hAnsi="仿宋_GB2312" w:eastAsia="仿宋_GB2312" w:cs="仿宋_GB2312"/>
                <w:color w:val="000000"/>
                <w:kern w:val="0"/>
                <w:sz w:val="18"/>
                <w:szCs w:val="18"/>
                <w:highlight w:val="none"/>
              </w:rPr>
              <w:t>政府网站</w:t>
            </w:r>
          </w:p>
        </w:tc>
        <w:tc>
          <w:tcPr>
            <w:tcW w:w="60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840" w:type="dxa"/>
            <w:vAlign w:val="center"/>
          </w:tcPr>
          <w:p>
            <w:pPr>
              <w:jc w:val="center"/>
              <w:rPr>
                <w:rFonts w:ascii="仿宋_GB2312" w:hAnsi="仿宋_GB2312" w:eastAsia="仿宋_GB2312" w:cs="仿宋_GB2312"/>
                <w:sz w:val="18"/>
                <w:szCs w:val="18"/>
                <w:highlight w:val="none"/>
              </w:rPr>
            </w:pPr>
          </w:p>
        </w:tc>
        <w:tc>
          <w:tcPr>
            <w:tcW w:w="615"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690" w:type="dxa"/>
            <w:vAlign w:val="center"/>
          </w:tcPr>
          <w:p>
            <w:pPr>
              <w:jc w:val="center"/>
              <w:rPr>
                <w:rFonts w:ascii="仿宋_GB2312" w:hAnsi="仿宋_GB2312" w:eastAsia="仿宋_GB2312" w:cs="仿宋_GB2312"/>
                <w:sz w:val="18"/>
                <w:szCs w:val="18"/>
                <w:highlight w:val="none"/>
              </w:rPr>
            </w:pPr>
          </w:p>
        </w:tc>
        <w:tc>
          <w:tcPr>
            <w:tcW w:w="51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707" w:type="dxa"/>
            <w:vAlign w:val="center"/>
          </w:tcPr>
          <w:p>
            <w:pPr>
              <w:jc w:val="center"/>
              <w:rPr>
                <w:rFonts w:ascii="仿宋_GB2312" w:hAnsi="仿宋_GB2312" w:eastAsia="仿宋_GB2312" w:cs="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578" w:type="dxa"/>
            <w:vAlign w:val="center"/>
          </w:tcPr>
          <w:p>
            <w:pPr>
              <w:widowControl/>
              <w:jc w:val="center"/>
              <w:textAlignment w:val="center"/>
              <w:rPr>
                <w:rFonts w:hint="default" w:ascii="仿宋_GB2312" w:hAnsi="仿宋_GB2312" w:eastAsia="仿宋_GB2312" w:cs="仿宋_GB2312"/>
                <w:sz w:val="18"/>
                <w:szCs w:val="18"/>
                <w:highlight w:val="none"/>
                <w:lang w:val="en-US" w:eastAsia="zh-CN"/>
              </w:rPr>
            </w:pPr>
            <w:r>
              <w:rPr>
                <w:rFonts w:hint="eastAsia" w:ascii="仿宋_GB2312" w:hAnsi="仿宋_GB2312" w:eastAsia="仿宋_GB2312" w:cs="仿宋_GB2312"/>
                <w:sz w:val="18"/>
                <w:szCs w:val="18"/>
                <w:highlight w:val="none"/>
                <w:lang w:val="en-US" w:eastAsia="zh-CN"/>
              </w:rPr>
              <w:t>18</w:t>
            </w:r>
          </w:p>
        </w:tc>
        <w:tc>
          <w:tcPr>
            <w:tcW w:w="780" w:type="dxa"/>
            <w:vMerge w:val="continue"/>
            <w:vAlign w:val="center"/>
          </w:tcPr>
          <w:p>
            <w:pPr>
              <w:jc w:val="center"/>
              <w:rPr>
                <w:rFonts w:ascii="仿宋_GB2312" w:hAnsi="仿宋_GB2312" w:eastAsia="仿宋_GB2312" w:cs="仿宋_GB2312"/>
                <w:sz w:val="18"/>
                <w:szCs w:val="18"/>
                <w:highlight w:val="none"/>
              </w:rPr>
            </w:pPr>
          </w:p>
        </w:tc>
        <w:tc>
          <w:tcPr>
            <w:tcW w:w="798"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对在树上张贴广告、悬挂广告牌等物品，在绿篱上晾晒衣物和其他物品的处罚</w:t>
            </w:r>
          </w:p>
        </w:tc>
        <w:tc>
          <w:tcPr>
            <w:tcW w:w="1620"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1、机构职能、权责清单、执法人员名单；</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2、执法程序或者行政强制流程图；</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3、执法依据；</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4、执法机关、执法对象、执法类别、执法结论</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5、行政处罚自由裁量权；</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6、咨询、监督投诉方式；</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7、处罚决定；</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8、救济渠道。</w:t>
            </w:r>
          </w:p>
        </w:tc>
        <w:tc>
          <w:tcPr>
            <w:tcW w:w="256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《柳州市城市绿化管理条例》</w:t>
            </w:r>
          </w:p>
        </w:tc>
        <w:tc>
          <w:tcPr>
            <w:tcW w:w="127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1、执法机关、执法对象、执法类别、执法结论等信息：在执法决定做出之日起20个工作日内。</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2、执法决定信息：执法决定作出之日起7个工作日内</w:t>
            </w:r>
          </w:p>
        </w:tc>
        <w:tc>
          <w:tcPr>
            <w:tcW w:w="1236"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柳城县城市管理行政执法局</w:t>
            </w:r>
          </w:p>
        </w:tc>
        <w:tc>
          <w:tcPr>
            <w:tcW w:w="1524" w:type="dxa"/>
            <w:vAlign w:val="center"/>
          </w:tcPr>
          <w:p>
            <w:pPr>
              <w:widowControl/>
              <w:textAlignment w:val="center"/>
              <w:rPr>
                <w:rFonts w:ascii="仿宋_GB2312" w:hAnsi="仿宋_GB2312" w:eastAsia="仿宋_GB2312" w:cs="仿宋_GB2312"/>
                <w:sz w:val="18"/>
                <w:szCs w:val="18"/>
                <w:highlight w:val="none"/>
              </w:rPr>
            </w:pPr>
            <w:r>
              <w:rPr>
                <w:rFonts w:hint="eastAsia" w:ascii="仿宋_GB2312" w:hAnsi="宋体" w:eastAsia="仿宋_GB2312"/>
                <w:sz w:val="18"/>
                <w:szCs w:val="18"/>
                <w:highlight w:val="none"/>
              </w:rPr>
              <w:t>■</w:t>
            </w:r>
            <w:r>
              <w:rPr>
                <w:rFonts w:hint="eastAsia" w:ascii="仿宋_GB2312" w:hAnsi="仿宋_GB2312" w:eastAsia="仿宋_GB2312" w:cs="仿宋_GB2312"/>
                <w:color w:val="000000"/>
                <w:kern w:val="0"/>
                <w:sz w:val="18"/>
                <w:szCs w:val="18"/>
                <w:highlight w:val="none"/>
              </w:rPr>
              <w:t>政府网站</w:t>
            </w:r>
          </w:p>
        </w:tc>
        <w:tc>
          <w:tcPr>
            <w:tcW w:w="60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840" w:type="dxa"/>
            <w:vAlign w:val="center"/>
          </w:tcPr>
          <w:p>
            <w:pPr>
              <w:jc w:val="center"/>
              <w:rPr>
                <w:rFonts w:ascii="仿宋_GB2312" w:hAnsi="仿宋_GB2312" w:eastAsia="仿宋_GB2312" w:cs="仿宋_GB2312"/>
                <w:sz w:val="18"/>
                <w:szCs w:val="18"/>
                <w:highlight w:val="none"/>
              </w:rPr>
            </w:pPr>
          </w:p>
        </w:tc>
        <w:tc>
          <w:tcPr>
            <w:tcW w:w="615"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690" w:type="dxa"/>
            <w:vAlign w:val="center"/>
          </w:tcPr>
          <w:p>
            <w:pPr>
              <w:jc w:val="center"/>
              <w:rPr>
                <w:rFonts w:ascii="仿宋_GB2312" w:hAnsi="仿宋_GB2312" w:eastAsia="仿宋_GB2312" w:cs="仿宋_GB2312"/>
                <w:sz w:val="18"/>
                <w:szCs w:val="18"/>
                <w:highlight w:val="none"/>
              </w:rPr>
            </w:pPr>
          </w:p>
        </w:tc>
        <w:tc>
          <w:tcPr>
            <w:tcW w:w="51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707" w:type="dxa"/>
            <w:vAlign w:val="center"/>
          </w:tcPr>
          <w:p>
            <w:pPr>
              <w:jc w:val="center"/>
              <w:rPr>
                <w:rFonts w:ascii="仿宋_GB2312" w:hAnsi="仿宋_GB2312" w:eastAsia="仿宋_GB2312" w:cs="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578" w:type="dxa"/>
            <w:vAlign w:val="center"/>
          </w:tcPr>
          <w:p>
            <w:pPr>
              <w:widowControl/>
              <w:jc w:val="center"/>
              <w:textAlignment w:val="center"/>
              <w:rPr>
                <w:rFonts w:hint="default" w:ascii="仿宋_GB2312" w:hAnsi="仿宋_GB2312" w:eastAsia="仿宋_GB2312" w:cs="仿宋_GB2312"/>
                <w:sz w:val="18"/>
                <w:szCs w:val="18"/>
                <w:highlight w:val="none"/>
                <w:lang w:val="en-US" w:eastAsia="zh-CN"/>
              </w:rPr>
            </w:pPr>
            <w:r>
              <w:rPr>
                <w:rFonts w:hint="eastAsia" w:ascii="仿宋_GB2312" w:hAnsi="仿宋_GB2312" w:eastAsia="仿宋_GB2312" w:cs="仿宋_GB2312"/>
                <w:sz w:val="18"/>
                <w:szCs w:val="18"/>
                <w:highlight w:val="none"/>
                <w:lang w:val="en-US" w:eastAsia="zh-CN"/>
              </w:rPr>
              <w:t>19</w:t>
            </w:r>
          </w:p>
        </w:tc>
        <w:tc>
          <w:tcPr>
            <w:tcW w:w="780" w:type="dxa"/>
            <w:vMerge w:val="continue"/>
            <w:vAlign w:val="center"/>
          </w:tcPr>
          <w:p>
            <w:pPr>
              <w:jc w:val="center"/>
              <w:rPr>
                <w:rFonts w:ascii="仿宋_GB2312" w:hAnsi="仿宋_GB2312" w:eastAsia="仿宋_GB2312" w:cs="仿宋_GB2312"/>
                <w:sz w:val="18"/>
                <w:szCs w:val="18"/>
                <w:highlight w:val="none"/>
              </w:rPr>
            </w:pPr>
          </w:p>
        </w:tc>
        <w:tc>
          <w:tcPr>
            <w:tcW w:w="798"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对擅自在城市绿地内铺设硬化地面的处罚</w:t>
            </w:r>
          </w:p>
        </w:tc>
        <w:tc>
          <w:tcPr>
            <w:tcW w:w="1620"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1、机构职能、权责清单、执法人员名单；</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2、执法程序或者行政强制流程图；</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3、执法依据；</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4、执法机关、执法对象、执法类别、执法结论</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5、行政处罚自由裁量权；</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6、咨询、监督投诉方式；</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7、处罚决定；</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8、救济渠道。</w:t>
            </w:r>
          </w:p>
        </w:tc>
        <w:tc>
          <w:tcPr>
            <w:tcW w:w="256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《柳州市城市绿化管理条例》</w:t>
            </w:r>
          </w:p>
        </w:tc>
        <w:tc>
          <w:tcPr>
            <w:tcW w:w="127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1、执法机关、执法对象、执法类别、执法结论等信息：在执法决定做出之日起20个工作日内。</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2、执法决定信息：执法决定作出之日起7个工作日内</w:t>
            </w:r>
          </w:p>
        </w:tc>
        <w:tc>
          <w:tcPr>
            <w:tcW w:w="1236"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柳城县城市管理行政执法局</w:t>
            </w:r>
          </w:p>
        </w:tc>
        <w:tc>
          <w:tcPr>
            <w:tcW w:w="1524" w:type="dxa"/>
            <w:vAlign w:val="center"/>
          </w:tcPr>
          <w:p>
            <w:pPr>
              <w:widowControl/>
              <w:textAlignment w:val="center"/>
              <w:rPr>
                <w:rFonts w:ascii="仿宋_GB2312" w:hAnsi="仿宋_GB2312" w:eastAsia="仿宋_GB2312" w:cs="仿宋_GB2312"/>
                <w:sz w:val="18"/>
                <w:szCs w:val="18"/>
                <w:highlight w:val="none"/>
              </w:rPr>
            </w:pPr>
            <w:r>
              <w:rPr>
                <w:rFonts w:hint="eastAsia" w:ascii="仿宋_GB2312" w:hAnsi="宋体" w:eastAsia="仿宋_GB2312"/>
                <w:sz w:val="18"/>
                <w:szCs w:val="18"/>
                <w:highlight w:val="none"/>
              </w:rPr>
              <w:t>■</w:t>
            </w:r>
            <w:r>
              <w:rPr>
                <w:rFonts w:hint="eastAsia" w:ascii="仿宋_GB2312" w:hAnsi="仿宋_GB2312" w:eastAsia="仿宋_GB2312" w:cs="仿宋_GB2312"/>
                <w:color w:val="000000"/>
                <w:kern w:val="0"/>
                <w:sz w:val="18"/>
                <w:szCs w:val="18"/>
                <w:highlight w:val="none"/>
              </w:rPr>
              <w:t>政府网站</w:t>
            </w:r>
          </w:p>
        </w:tc>
        <w:tc>
          <w:tcPr>
            <w:tcW w:w="60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840" w:type="dxa"/>
            <w:vAlign w:val="center"/>
          </w:tcPr>
          <w:p>
            <w:pPr>
              <w:jc w:val="center"/>
              <w:rPr>
                <w:rFonts w:ascii="仿宋_GB2312" w:hAnsi="仿宋_GB2312" w:eastAsia="仿宋_GB2312" w:cs="仿宋_GB2312"/>
                <w:sz w:val="18"/>
                <w:szCs w:val="18"/>
                <w:highlight w:val="none"/>
              </w:rPr>
            </w:pPr>
          </w:p>
        </w:tc>
        <w:tc>
          <w:tcPr>
            <w:tcW w:w="615"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690" w:type="dxa"/>
            <w:vAlign w:val="center"/>
          </w:tcPr>
          <w:p>
            <w:pPr>
              <w:jc w:val="center"/>
              <w:rPr>
                <w:rFonts w:ascii="仿宋_GB2312" w:hAnsi="仿宋_GB2312" w:eastAsia="仿宋_GB2312" w:cs="仿宋_GB2312"/>
                <w:sz w:val="18"/>
                <w:szCs w:val="18"/>
                <w:highlight w:val="none"/>
              </w:rPr>
            </w:pPr>
          </w:p>
        </w:tc>
        <w:tc>
          <w:tcPr>
            <w:tcW w:w="51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707" w:type="dxa"/>
            <w:vAlign w:val="center"/>
          </w:tcPr>
          <w:p>
            <w:pPr>
              <w:jc w:val="center"/>
              <w:rPr>
                <w:rFonts w:ascii="仿宋_GB2312" w:hAnsi="仿宋_GB2312" w:eastAsia="仿宋_GB2312" w:cs="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578" w:type="dxa"/>
            <w:vAlign w:val="center"/>
          </w:tcPr>
          <w:p>
            <w:pPr>
              <w:widowControl/>
              <w:jc w:val="center"/>
              <w:textAlignment w:val="center"/>
              <w:rPr>
                <w:rFonts w:hint="default" w:ascii="仿宋_GB2312" w:hAnsi="仿宋_GB2312" w:eastAsia="仿宋_GB2312" w:cs="仿宋_GB2312"/>
                <w:sz w:val="18"/>
                <w:szCs w:val="18"/>
                <w:highlight w:val="none"/>
                <w:lang w:val="en-US" w:eastAsia="zh-CN"/>
              </w:rPr>
            </w:pPr>
            <w:r>
              <w:rPr>
                <w:rFonts w:hint="eastAsia" w:ascii="仿宋_GB2312" w:hAnsi="仿宋_GB2312" w:eastAsia="仿宋_GB2312" w:cs="仿宋_GB2312"/>
                <w:sz w:val="18"/>
                <w:szCs w:val="18"/>
                <w:highlight w:val="none"/>
                <w:lang w:val="en-US" w:eastAsia="zh-CN"/>
              </w:rPr>
              <w:t>20</w:t>
            </w:r>
          </w:p>
        </w:tc>
        <w:tc>
          <w:tcPr>
            <w:tcW w:w="780" w:type="dxa"/>
            <w:vMerge w:val="continue"/>
            <w:vAlign w:val="center"/>
          </w:tcPr>
          <w:p>
            <w:pPr>
              <w:jc w:val="center"/>
              <w:rPr>
                <w:rFonts w:ascii="仿宋_GB2312" w:hAnsi="仿宋_GB2312" w:eastAsia="仿宋_GB2312" w:cs="仿宋_GB2312"/>
                <w:sz w:val="18"/>
                <w:szCs w:val="18"/>
                <w:highlight w:val="none"/>
              </w:rPr>
            </w:pPr>
          </w:p>
        </w:tc>
        <w:tc>
          <w:tcPr>
            <w:tcW w:w="798"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对在城市绿地内挖沙取土、打砖、种菜、用火，倾倒污水、垃圾、渣土等的处罚</w:t>
            </w:r>
          </w:p>
        </w:tc>
        <w:tc>
          <w:tcPr>
            <w:tcW w:w="1620"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1、机构职能、权责清单、执法人员名单；</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2、执法程序或者行政强制流程图；</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3、执法依据；</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4、执法机关、执法对象、执法类别、执法结论</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5、行政处罚自由裁量权；</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6、咨询、监督投诉方式；</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7、处罚决定；</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8、救济渠道。</w:t>
            </w:r>
          </w:p>
        </w:tc>
        <w:tc>
          <w:tcPr>
            <w:tcW w:w="256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《柳州市城市绿化管理条例》</w:t>
            </w:r>
          </w:p>
        </w:tc>
        <w:tc>
          <w:tcPr>
            <w:tcW w:w="127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1、执法机关、执法对象、执法类别、执法结论等信息：在执法决定做出之日起20个工作日内。</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2、执法决定信息：执法决定作出之日起7个工作日内</w:t>
            </w:r>
          </w:p>
        </w:tc>
        <w:tc>
          <w:tcPr>
            <w:tcW w:w="1236"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柳城县城市管理行政执法局</w:t>
            </w:r>
          </w:p>
        </w:tc>
        <w:tc>
          <w:tcPr>
            <w:tcW w:w="1524" w:type="dxa"/>
            <w:vAlign w:val="center"/>
          </w:tcPr>
          <w:p>
            <w:pPr>
              <w:widowControl/>
              <w:textAlignment w:val="center"/>
              <w:rPr>
                <w:rFonts w:ascii="仿宋_GB2312" w:hAnsi="仿宋_GB2312" w:eastAsia="仿宋_GB2312" w:cs="仿宋_GB2312"/>
                <w:sz w:val="18"/>
                <w:szCs w:val="18"/>
                <w:highlight w:val="none"/>
              </w:rPr>
            </w:pPr>
            <w:r>
              <w:rPr>
                <w:rFonts w:hint="eastAsia" w:ascii="仿宋_GB2312" w:hAnsi="宋体" w:eastAsia="仿宋_GB2312"/>
                <w:sz w:val="18"/>
                <w:szCs w:val="18"/>
                <w:highlight w:val="none"/>
              </w:rPr>
              <w:t>■</w:t>
            </w:r>
            <w:r>
              <w:rPr>
                <w:rFonts w:hint="eastAsia" w:ascii="仿宋_GB2312" w:hAnsi="仿宋_GB2312" w:eastAsia="仿宋_GB2312" w:cs="仿宋_GB2312"/>
                <w:color w:val="000000"/>
                <w:kern w:val="0"/>
                <w:sz w:val="18"/>
                <w:szCs w:val="18"/>
                <w:highlight w:val="none"/>
              </w:rPr>
              <w:t>政府网站</w:t>
            </w:r>
          </w:p>
        </w:tc>
        <w:tc>
          <w:tcPr>
            <w:tcW w:w="60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840" w:type="dxa"/>
            <w:vAlign w:val="center"/>
          </w:tcPr>
          <w:p>
            <w:pPr>
              <w:jc w:val="center"/>
              <w:rPr>
                <w:rFonts w:ascii="仿宋_GB2312" w:hAnsi="仿宋_GB2312" w:eastAsia="仿宋_GB2312" w:cs="仿宋_GB2312"/>
                <w:sz w:val="18"/>
                <w:szCs w:val="18"/>
                <w:highlight w:val="none"/>
              </w:rPr>
            </w:pPr>
          </w:p>
        </w:tc>
        <w:tc>
          <w:tcPr>
            <w:tcW w:w="615"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690" w:type="dxa"/>
            <w:vAlign w:val="center"/>
          </w:tcPr>
          <w:p>
            <w:pPr>
              <w:jc w:val="center"/>
              <w:rPr>
                <w:rFonts w:ascii="仿宋_GB2312" w:hAnsi="仿宋_GB2312" w:eastAsia="仿宋_GB2312" w:cs="仿宋_GB2312"/>
                <w:sz w:val="18"/>
                <w:szCs w:val="18"/>
                <w:highlight w:val="none"/>
              </w:rPr>
            </w:pPr>
          </w:p>
        </w:tc>
        <w:tc>
          <w:tcPr>
            <w:tcW w:w="51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707" w:type="dxa"/>
            <w:vAlign w:val="center"/>
          </w:tcPr>
          <w:p>
            <w:pPr>
              <w:jc w:val="center"/>
              <w:rPr>
                <w:rFonts w:ascii="仿宋_GB2312" w:hAnsi="仿宋_GB2312" w:eastAsia="仿宋_GB2312" w:cs="仿宋_GB2312"/>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0" w:hRule="atLeast"/>
          <w:jc w:val="center"/>
        </w:trPr>
        <w:tc>
          <w:tcPr>
            <w:tcW w:w="578" w:type="dxa"/>
            <w:vAlign w:val="center"/>
          </w:tcPr>
          <w:p>
            <w:pPr>
              <w:widowControl/>
              <w:jc w:val="center"/>
              <w:textAlignment w:val="center"/>
              <w:rPr>
                <w:rFonts w:hint="eastAsia" w:ascii="仿宋_GB2312" w:hAnsi="仿宋_GB2312" w:eastAsia="仿宋_GB2312" w:cs="仿宋_GB2312"/>
                <w:sz w:val="18"/>
                <w:szCs w:val="18"/>
                <w:highlight w:val="none"/>
                <w:lang w:val="en-US" w:eastAsia="zh-CN"/>
              </w:rPr>
            </w:pPr>
            <w:r>
              <w:rPr>
                <w:rFonts w:hint="eastAsia" w:ascii="仿宋_GB2312" w:hAnsi="仿宋_GB2312" w:eastAsia="仿宋_GB2312" w:cs="仿宋_GB2312"/>
                <w:sz w:val="18"/>
                <w:szCs w:val="18"/>
                <w:highlight w:val="none"/>
              </w:rPr>
              <w:t>2</w:t>
            </w:r>
            <w:r>
              <w:rPr>
                <w:rFonts w:hint="eastAsia" w:ascii="仿宋_GB2312" w:hAnsi="仿宋_GB2312" w:eastAsia="仿宋_GB2312" w:cs="仿宋_GB2312"/>
                <w:sz w:val="18"/>
                <w:szCs w:val="18"/>
                <w:highlight w:val="none"/>
                <w:lang w:val="en-US" w:eastAsia="zh-CN"/>
              </w:rPr>
              <w:t>1</w:t>
            </w:r>
          </w:p>
        </w:tc>
        <w:tc>
          <w:tcPr>
            <w:tcW w:w="780" w:type="dxa"/>
            <w:vMerge w:val="continue"/>
            <w:vAlign w:val="center"/>
          </w:tcPr>
          <w:p>
            <w:pPr>
              <w:jc w:val="center"/>
              <w:rPr>
                <w:rFonts w:ascii="仿宋_GB2312" w:hAnsi="仿宋_GB2312" w:eastAsia="仿宋_GB2312" w:cs="仿宋_GB2312"/>
                <w:sz w:val="18"/>
                <w:szCs w:val="18"/>
                <w:highlight w:val="none"/>
              </w:rPr>
            </w:pPr>
          </w:p>
        </w:tc>
        <w:tc>
          <w:tcPr>
            <w:tcW w:w="798"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对损坏树木支架、护栏、座椅、园灯、建筑小品、给排水设施等的处罚</w:t>
            </w:r>
          </w:p>
        </w:tc>
        <w:tc>
          <w:tcPr>
            <w:tcW w:w="1620"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1、机构职能、权责清单、执法人员名单；</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2、执法程序或者行政强制流程图；</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3、执法依据；</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4、执法机关、执法对象、执法类别、执法结论</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5、行政处罚自由裁量权；</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6、咨询、监督投诉方式；</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7、处罚决定；</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8、救济渠道。</w:t>
            </w:r>
          </w:p>
        </w:tc>
        <w:tc>
          <w:tcPr>
            <w:tcW w:w="256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《柳州市城市绿化管理条例》</w:t>
            </w:r>
          </w:p>
        </w:tc>
        <w:tc>
          <w:tcPr>
            <w:tcW w:w="1275" w:type="dxa"/>
            <w:vAlign w:val="center"/>
          </w:tcPr>
          <w:p>
            <w:pPr>
              <w:widowControl/>
              <w:jc w:val="left"/>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1、执法机关、执法对象、执法类别、执法结论等信息：在执法决定做出之日起20个工作日内。</w:t>
            </w:r>
            <w:r>
              <w:rPr>
                <w:rFonts w:hint="eastAsia" w:ascii="仿宋_GB2312" w:hAnsi="仿宋_GB2312" w:eastAsia="仿宋_GB2312" w:cs="仿宋_GB2312"/>
                <w:color w:val="000000"/>
                <w:kern w:val="0"/>
                <w:sz w:val="18"/>
                <w:szCs w:val="18"/>
                <w:highlight w:val="none"/>
              </w:rPr>
              <w:br w:type="textWrapping"/>
            </w:r>
            <w:r>
              <w:rPr>
                <w:rFonts w:hint="eastAsia" w:ascii="仿宋_GB2312" w:hAnsi="仿宋_GB2312" w:eastAsia="仿宋_GB2312" w:cs="仿宋_GB2312"/>
                <w:color w:val="000000"/>
                <w:kern w:val="0"/>
                <w:sz w:val="18"/>
                <w:szCs w:val="18"/>
                <w:highlight w:val="none"/>
              </w:rPr>
              <w:t>2、执法决定信息：执法决定作出之日起7个工作日内</w:t>
            </w:r>
          </w:p>
        </w:tc>
        <w:tc>
          <w:tcPr>
            <w:tcW w:w="1236"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柳城县城市管理行政执法局</w:t>
            </w:r>
          </w:p>
        </w:tc>
        <w:tc>
          <w:tcPr>
            <w:tcW w:w="1524" w:type="dxa"/>
            <w:vAlign w:val="center"/>
          </w:tcPr>
          <w:p>
            <w:pPr>
              <w:widowControl/>
              <w:textAlignment w:val="center"/>
              <w:rPr>
                <w:rFonts w:ascii="仿宋_GB2312" w:hAnsi="仿宋_GB2312" w:eastAsia="仿宋_GB2312" w:cs="仿宋_GB2312"/>
                <w:sz w:val="18"/>
                <w:szCs w:val="18"/>
                <w:highlight w:val="none"/>
              </w:rPr>
            </w:pPr>
            <w:r>
              <w:rPr>
                <w:rFonts w:hint="eastAsia" w:ascii="仿宋_GB2312" w:hAnsi="宋体" w:eastAsia="仿宋_GB2312"/>
                <w:sz w:val="18"/>
                <w:szCs w:val="18"/>
                <w:highlight w:val="none"/>
              </w:rPr>
              <w:t>■</w:t>
            </w:r>
            <w:r>
              <w:rPr>
                <w:rFonts w:hint="eastAsia" w:ascii="仿宋_GB2312" w:hAnsi="仿宋_GB2312" w:eastAsia="仿宋_GB2312" w:cs="仿宋_GB2312"/>
                <w:color w:val="000000"/>
                <w:kern w:val="0"/>
                <w:sz w:val="18"/>
                <w:szCs w:val="18"/>
                <w:highlight w:val="none"/>
              </w:rPr>
              <w:t>政府网站</w:t>
            </w:r>
          </w:p>
        </w:tc>
        <w:tc>
          <w:tcPr>
            <w:tcW w:w="60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840" w:type="dxa"/>
            <w:vAlign w:val="center"/>
          </w:tcPr>
          <w:p>
            <w:pPr>
              <w:jc w:val="center"/>
              <w:rPr>
                <w:rFonts w:ascii="仿宋_GB2312" w:hAnsi="仿宋_GB2312" w:eastAsia="仿宋_GB2312" w:cs="仿宋_GB2312"/>
                <w:sz w:val="18"/>
                <w:szCs w:val="18"/>
                <w:highlight w:val="none"/>
              </w:rPr>
            </w:pPr>
          </w:p>
        </w:tc>
        <w:tc>
          <w:tcPr>
            <w:tcW w:w="615"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690" w:type="dxa"/>
            <w:vAlign w:val="center"/>
          </w:tcPr>
          <w:p>
            <w:pPr>
              <w:jc w:val="center"/>
              <w:rPr>
                <w:rFonts w:ascii="仿宋_GB2312" w:hAnsi="仿宋_GB2312" w:eastAsia="仿宋_GB2312" w:cs="仿宋_GB2312"/>
                <w:sz w:val="18"/>
                <w:szCs w:val="18"/>
                <w:highlight w:val="none"/>
              </w:rPr>
            </w:pPr>
          </w:p>
        </w:tc>
        <w:tc>
          <w:tcPr>
            <w:tcW w:w="510" w:type="dxa"/>
            <w:vAlign w:val="center"/>
          </w:tcPr>
          <w:p>
            <w:pPr>
              <w:widowControl/>
              <w:jc w:val="center"/>
              <w:textAlignment w:val="center"/>
              <w:rPr>
                <w:rFonts w:ascii="仿宋_GB2312" w:hAnsi="仿宋_GB2312" w:eastAsia="仿宋_GB2312" w:cs="仿宋_GB2312"/>
                <w:sz w:val="18"/>
                <w:szCs w:val="18"/>
                <w:highlight w:val="none"/>
              </w:rPr>
            </w:pPr>
            <w:r>
              <w:rPr>
                <w:rFonts w:hint="eastAsia" w:ascii="仿宋_GB2312" w:hAnsi="仿宋_GB2312" w:eastAsia="仿宋_GB2312" w:cs="仿宋_GB2312"/>
                <w:color w:val="000000"/>
                <w:kern w:val="0"/>
                <w:sz w:val="18"/>
                <w:szCs w:val="18"/>
                <w:highlight w:val="none"/>
              </w:rPr>
              <w:t>√</w:t>
            </w:r>
          </w:p>
        </w:tc>
        <w:tc>
          <w:tcPr>
            <w:tcW w:w="707" w:type="dxa"/>
            <w:vAlign w:val="center"/>
          </w:tcPr>
          <w:p>
            <w:pPr>
              <w:jc w:val="center"/>
              <w:rPr>
                <w:rFonts w:ascii="仿宋_GB2312" w:hAnsi="仿宋_GB2312" w:eastAsia="仿宋_GB2312" w:cs="仿宋_GB2312"/>
                <w:sz w:val="18"/>
                <w:szCs w:val="18"/>
                <w:highlight w:val="none"/>
              </w:rPr>
            </w:pPr>
          </w:p>
        </w:tc>
      </w:tr>
      <w:bookmarkEnd w:id="0"/>
    </w:tbl>
    <w:p>
      <w:pPr>
        <w:sectPr>
          <w:type w:val="continuous"/>
          <w:pgSz w:w="16838" w:h="11906" w:orient="landscape"/>
          <w:pgMar w:top="737" w:right="873" w:bottom="851" w:left="873" w:header="851" w:footer="992" w:gutter="0"/>
          <w:cols w:space="720" w:num="1"/>
          <w:titlePg/>
          <w:docGrid w:type="lines" w:linePitch="312" w:charSpace="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altName w:val="微软雅黑"/>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PMingLiU">
    <w:panose1 w:val="02020500000000000000"/>
    <w:charset w:val="88"/>
    <w:family w:val="auto"/>
    <w:pitch w:val="default"/>
    <w:sig w:usb0="A00002FF" w:usb1="28CFFCFA" w:usb2="00000016"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NlYTYyNjU1OGI4MzM0NWYzNDFlNmExMmM2YmMzYzYifQ=="/>
  </w:docVars>
  <w:rsids>
    <w:rsidRoot w:val="002A5FEA"/>
    <w:rsid w:val="002A5FEA"/>
    <w:rsid w:val="0059091E"/>
    <w:rsid w:val="1A7E4D8A"/>
    <w:rsid w:val="229E7EE0"/>
    <w:rsid w:val="34B6313F"/>
    <w:rsid w:val="35740C6A"/>
    <w:rsid w:val="377F0C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5"/>
    <w:qFormat/>
    <w:uiPriority w:val="0"/>
    <w:pPr>
      <w:keepNext/>
      <w:keepLines/>
      <w:spacing w:before="340" w:after="330" w:line="578" w:lineRule="auto"/>
      <w:outlineLvl w:val="0"/>
    </w:pPr>
    <w:rPr>
      <w:rFonts w:ascii="Calibri" w:hAnsi="Calibri" w:eastAsia="宋体" w:cs="Times New Roman"/>
      <w:b/>
      <w:bCs/>
      <w:kern w:val="44"/>
      <w:sz w:val="44"/>
      <w:szCs w:val="44"/>
    </w:rPr>
  </w:style>
  <w:style w:type="character" w:default="1" w:styleId="4">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 w:type="character" w:customStyle="1" w:styleId="5">
    <w:name w:val="标题 1 Char"/>
    <w:basedOn w:val="4"/>
    <w:link w:val="2"/>
    <w:qFormat/>
    <w:uiPriority w:val="0"/>
    <w:rPr>
      <w:rFonts w:ascii="Calibri" w:hAnsi="Calibri" w:eastAsia="宋体" w:cs="Times New Roman"/>
      <w:b/>
      <w:bCs/>
      <w:kern w:val="44"/>
      <w:sz w:val="44"/>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3997</Words>
  <Characters>4039</Characters>
  <Lines>32</Lines>
  <Paragraphs>9</Paragraphs>
  <TotalTime>1</TotalTime>
  <ScaleCrop>false</ScaleCrop>
  <LinksUpToDate>false</LinksUpToDate>
  <CharactersWithSpaces>4054</CharactersWithSpaces>
  <Application>WPS Office_11.1.0.8838_F1E327BC-269C-435d-A152-05C5408002CA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2020-11-29T02:18:00Z</dcterms:created>
  <dc:creator>Lenovo</dc:creator>
  <cp:lastModifiedBy>Administrator</cp:lastModifiedBy>
  <dcterms:modified xsi:type="dcterms:W3CDTF">2022-11-10T01:05:59Z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2052-11.1.0.8838</vt:lpwstr>
  </property>
  <property fmtid="{D5CDD505-2E9C-101B-9397-08002B2CF9AE}" pid="3" name="ICV">
    <vt:lpwstr>42C792F4BCC8430B9AC591720EE8810C</vt:lpwstr>
  </property>
</Properties>
</file>