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  <w:szCs w:val="28"/>
        </w:rPr>
      </w:pPr>
      <w:bookmarkStart w:id="0" w:name="_GoBack"/>
      <w:bookmarkEnd w:id="0"/>
      <w:r>
        <w:rPr>
          <w:rFonts w:hint="eastAsia" w:ascii="方正小标宋_GBK" w:hAnsi="方正小标宋_GBK" w:eastAsia="方正小标宋_GBK"/>
          <w:b w:val="0"/>
          <w:bCs w:val="0"/>
          <w:sz w:val="30"/>
          <w:lang w:val="en-US" w:eastAsia="zh-CN"/>
        </w:rPr>
        <w:t>2022年</w:t>
      </w:r>
      <w:r>
        <w:rPr>
          <w:rFonts w:hint="eastAsia" w:ascii="方正小标宋_GBK" w:hAnsi="方正小标宋_GBK" w:eastAsia="方正小标宋_GBK"/>
          <w:b w:val="0"/>
          <w:bCs w:val="0"/>
          <w:sz w:val="30"/>
        </w:rPr>
        <w:t>户籍管理领域基层政务公开标准目录</w:t>
      </w:r>
    </w:p>
    <w:tbl>
      <w:tblPr>
        <w:tblStyle w:val="3"/>
        <w:tblW w:w="14286" w:type="dxa"/>
        <w:tblInd w:w="7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777"/>
        <w:gridCol w:w="883"/>
        <w:gridCol w:w="1410"/>
        <w:gridCol w:w="1974"/>
        <w:gridCol w:w="1091"/>
        <w:gridCol w:w="883"/>
        <w:gridCol w:w="2402"/>
        <w:gridCol w:w="675"/>
        <w:gridCol w:w="630"/>
        <w:gridCol w:w="705"/>
        <w:gridCol w:w="825"/>
        <w:gridCol w:w="810"/>
        <w:gridCol w:w="74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7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/>
                <w:color w:val="000000"/>
                <w:sz w:val="20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20"/>
                <w:highlight w:val="none"/>
              </w:rPr>
              <w:t>序号</w:t>
            </w:r>
          </w:p>
        </w:tc>
        <w:tc>
          <w:tcPr>
            <w:tcW w:w="16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0"/>
                <w:highlight w:val="none"/>
              </w:rPr>
              <w:t>公开事项</w:t>
            </w:r>
          </w:p>
        </w:tc>
        <w:tc>
          <w:tcPr>
            <w:tcW w:w="141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0"/>
                <w:highlight w:val="none"/>
              </w:rPr>
              <w:t>公开内容        （要素）</w:t>
            </w:r>
          </w:p>
        </w:tc>
        <w:tc>
          <w:tcPr>
            <w:tcW w:w="197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0"/>
                <w:highlight w:val="none"/>
              </w:rPr>
              <w:t>公开依据</w:t>
            </w:r>
          </w:p>
        </w:tc>
        <w:tc>
          <w:tcPr>
            <w:tcW w:w="109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0"/>
                <w:highlight w:val="none"/>
              </w:rPr>
              <w:t>公开时限</w:t>
            </w:r>
          </w:p>
        </w:tc>
        <w:tc>
          <w:tcPr>
            <w:tcW w:w="88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0"/>
                <w:highlight w:val="none"/>
              </w:rPr>
              <w:t>公开主体</w:t>
            </w:r>
          </w:p>
        </w:tc>
        <w:tc>
          <w:tcPr>
            <w:tcW w:w="240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0"/>
                <w:highlight w:val="none"/>
              </w:rPr>
              <w:t>公开渠道和载体</w:t>
            </w:r>
          </w:p>
        </w:tc>
        <w:tc>
          <w:tcPr>
            <w:tcW w:w="130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0"/>
                <w:highlight w:val="none"/>
              </w:rPr>
              <w:t>公开对象</w:t>
            </w:r>
          </w:p>
        </w:tc>
        <w:tc>
          <w:tcPr>
            <w:tcW w:w="15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0"/>
                <w:highlight w:val="none"/>
              </w:rPr>
              <w:t>公开方式</w:t>
            </w:r>
          </w:p>
        </w:tc>
        <w:tc>
          <w:tcPr>
            <w:tcW w:w="15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0"/>
                <w:highlight w:val="none"/>
              </w:rPr>
              <w:t>公开层级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74" w:type="dxa"/>
            <w:vMerge w:val="continue"/>
            <w:tcBorders>
              <w:tl2br w:val="nil"/>
              <w:tr2bl w:val="nil"/>
            </w:tcBorders>
          </w:tcPr>
          <w:p>
            <w:pPr>
              <w:autoSpaceDE w:val="0"/>
              <w:autoSpaceDN w:val="0"/>
              <w:jc w:val="center"/>
              <w:rPr>
                <w:rFonts w:ascii="宋体" w:hAnsi="宋体"/>
                <w:color w:val="000000"/>
                <w:sz w:val="20"/>
                <w:highlight w:val="none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0"/>
                <w:highlight w:val="none"/>
              </w:rPr>
              <w:t>一级事项</w:t>
            </w:r>
          </w:p>
        </w:tc>
        <w:tc>
          <w:tcPr>
            <w:tcW w:w="883" w:type="dxa"/>
            <w:tcBorders>
              <w:tl2br w:val="nil"/>
              <w:tr2bl w:val="nil"/>
            </w:tcBorders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0"/>
                <w:highlight w:val="none"/>
              </w:rPr>
              <w:t>二级事项</w:t>
            </w:r>
          </w:p>
        </w:tc>
        <w:tc>
          <w:tcPr>
            <w:tcW w:w="1410" w:type="dxa"/>
            <w:vMerge w:val="continue"/>
            <w:tcBorders>
              <w:tl2br w:val="nil"/>
              <w:tr2bl w:val="nil"/>
            </w:tcBorders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</w:p>
        </w:tc>
        <w:tc>
          <w:tcPr>
            <w:tcW w:w="1974" w:type="dxa"/>
            <w:vMerge w:val="continue"/>
            <w:tcBorders>
              <w:tl2br w:val="nil"/>
              <w:tr2bl w:val="nil"/>
            </w:tcBorders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</w:p>
        </w:tc>
        <w:tc>
          <w:tcPr>
            <w:tcW w:w="1091" w:type="dxa"/>
            <w:vMerge w:val="continue"/>
            <w:tcBorders>
              <w:tl2br w:val="nil"/>
              <w:tr2bl w:val="nil"/>
            </w:tcBorders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</w:p>
        </w:tc>
        <w:tc>
          <w:tcPr>
            <w:tcW w:w="883" w:type="dxa"/>
            <w:vMerge w:val="continue"/>
            <w:tcBorders>
              <w:tl2br w:val="nil"/>
              <w:tr2bl w:val="nil"/>
            </w:tcBorders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</w:p>
        </w:tc>
        <w:tc>
          <w:tcPr>
            <w:tcW w:w="2402" w:type="dxa"/>
            <w:vMerge w:val="continue"/>
            <w:tcBorders>
              <w:tl2br w:val="nil"/>
              <w:tr2bl w:val="nil"/>
            </w:tcBorders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0"/>
                <w:highlight w:val="none"/>
              </w:rPr>
              <w:t>全社会</w:t>
            </w:r>
          </w:p>
        </w:tc>
        <w:tc>
          <w:tcPr>
            <w:tcW w:w="630" w:type="dxa"/>
            <w:tcBorders>
              <w:tl2br w:val="nil"/>
              <w:tr2bl w:val="nil"/>
            </w:tcBorders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0"/>
                <w:highlight w:val="none"/>
              </w:rPr>
              <w:t>特定群众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0"/>
                <w:highlight w:val="none"/>
              </w:rPr>
              <w:t>主动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0"/>
                <w:highlight w:val="none"/>
              </w:rPr>
              <w:t>依申请公开</w:t>
            </w: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0"/>
                <w:highlight w:val="none"/>
              </w:rPr>
              <w:t>县级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0"/>
                <w:highlight w:val="none"/>
              </w:rPr>
              <w:t>乡、</w:t>
            </w:r>
          </w:p>
          <w:p>
            <w:pPr>
              <w:autoSpaceDE w:val="0"/>
              <w:autoSpaceDN w:val="0"/>
              <w:jc w:val="center"/>
              <w:rPr>
                <w:rFonts w:ascii="黑体" w:hAnsi="黑体" w:eastAsia="黑体"/>
                <w:color w:val="00000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0"/>
                <w:highlight w:val="none"/>
              </w:rPr>
              <w:t>村级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户口迁移审批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户口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迁出、迁入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、《中华人民共和国政府信息公开条例》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；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其中行政许可、行政处罚事项应自作出行政决定之日起7个工作日内公示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■广西数字政务一体化平台（http://lzlc.zwfw.gxzf.gov.cn/gxzwfw/bmft/bmftList.do?deptCode=11450222007629696T&amp;webId=39）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4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边境管理区通行证核发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边境管理区通行证（深圳、珠海经济特区除外）核发</w:t>
            </w:r>
          </w:p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《国务院对确需保留的行政审批项目设定行政许可的决定》、《政府信息公开条例》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；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其中行政许可、行政处罚事项应自作出行政决定之日起7个工作日内公示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■广西数字政务一体化平台（http://lzlc.zwfw.gxzf.gov.cn/gxzwfw/bmft/bmftList.do?deptCode=11450222007629696T&amp;webId=39&amp;webId=39）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对新出生婴儿办理出生登记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对新出生婴儿办理出生登记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■广西数字政务一体化平台(http://lzlc.zwfw.gxzf.gov.cn/gxzwfw/transition/transToDetail.do?sxcode=11450222007629696T4000709021000&amp;webId=39）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户口登记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收养落户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、《收养法》、《中国公民收养子女登记办法》、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《中华人民共和国国籍法》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■广西数字政务一体化平台（http://lzlc.zwfw.gxzf.gov.cn/gxzwfw/transition/transToDetail.do?sxcode=11450222007629696T400070900100023&amp;webId=39）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77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户口登记、注销、迁移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复转军人恢复户口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■广西数字政务一体化平台（http://lzlc.zwfw.gxzf.gov.cn/gxzwfw/transition/transToDetail.do?sxcode=11450222007629696T400070900100014&amp;webId=39）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7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回国定居人员恢复户口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■广西数字政务一体化平台（http://lzlc.zwfw.gxzf.gov.cn/gxzwfw/transition/transToDetail.do?sxcode=11450222007629696T400070900100019&amp;webId=39）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7</w:t>
            </w:r>
          </w:p>
        </w:tc>
        <w:tc>
          <w:tcPr>
            <w:tcW w:w="7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港澳台居民回大陆定居恢复户口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、《中华人民共和国政府信息公开条例》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■广西数字政务一体化平台（http://lzlc.zwfw.gxzf.gov.cn/gxzwfw/transition/transToDetail.do?sxcode=11450222007629696T400070900100020&amp;webId=39）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8</w:t>
            </w:r>
          </w:p>
        </w:tc>
        <w:tc>
          <w:tcPr>
            <w:tcW w:w="7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刑满释放人员恢复户口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■广西数字政务一体化平台（http://lzlc.zwfw.gxzf.gov.cn/gxzwfw/transition/transToDetail.do?sxcode=11450222007629696T400070900100021&amp;webId=39）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9</w:t>
            </w:r>
          </w:p>
        </w:tc>
        <w:tc>
          <w:tcPr>
            <w:tcW w:w="77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  <w:t>死亡、宣告死亡、宣告失踪人员办理户口注销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死亡注销户口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■广西数字政务一体化平台（http://lzlc.zwfw.gxzf.gov.cn/gxzwfw/transition/transToDetail.do?sxcode=11450222007629696T400070902200002&amp;webId=39）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出国或赴港、澳、台定居人员注销户口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■广西数字政务一体化平台（http://lzlc.zwfw.gxzf.gov.cn/gxzwfw/transition/transToDetail.do?sxcode=11450222007629696T400070902200003&amp;webId=39）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777" w:type="dxa"/>
            <w:vMerge w:val="restart"/>
            <w:tcBorders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户口登记、注销、迁移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变更姓名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■广西数字政务一体化平台（http://lzlc.zwfw.gxzf.gov.cn/gxzwfw/transition/transToDetail.do?sxcode=11450222007629696T400070900100013&amp;webId=39）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777" w:type="dxa"/>
            <w:vMerge w:val="continue"/>
            <w:tcBorders>
              <w:tl2br w:val="nil"/>
              <w:tr2bl w:val="nil"/>
            </w:tcBorders>
            <w:shd w:val="solid" w:color="FFFFFF" w:fill="auto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更正出生日期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■广西数字政务一体化平台（http://lzlc.zwfw.gxzf.gov.cn/gxzwfw/transition/transToDetail.do?sxcode=11450222007629696T400070900100001&amp;webId=39）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777" w:type="dxa"/>
            <w:vMerge w:val="continue"/>
            <w:tcBorders>
              <w:tl2br w:val="nil"/>
              <w:tr2bl w:val="nil"/>
            </w:tcBorders>
            <w:shd w:val="solid" w:color="FFFFFF" w:fill="auto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变更、更正公民民族成份</w:t>
            </w:r>
          </w:p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《中国公民民族成份登记管理办法》、《政府信息公开条例》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■广西数字政务一体化平台（http://lzlc.zwfw.gxzf.gov.cn/gxzwfw/transition/transToDetail.do?sxcode=11450222007629696T400070900100008&amp;webId=39）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777" w:type="dxa"/>
            <w:vMerge w:val="continue"/>
            <w:tcBorders>
              <w:tl2br w:val="nil"/>
              <w:tr2bl w:val="nil"/>
            </w:tcBorders>
            <w:shd w:val="solid" w:color="FFFFFF" w:fill="auto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变更、更正性别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《公安部关于公民手术变性后变更户口登记性别项目有关问题的批复》、《政府信息公开条例》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■广西数字政务一体化平台（http://lzlc.zwfw.gxzf.gov.cn/gxzwfw/transition/transToDetail.do?sxcode=11450222007629696T400070900100006&amp;webId=39）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777" w:type="dxa"/>
            <w:vMerge w:val="continue"/>
            <w:tcBorders>
              <w:tl2br w:val="nil"/>
              <w:tr2bl w:val="nil"/>
            </w:tcBorders>
            <w:shd w:val="solid" w:color="FFFFFF" w:fill="auto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变更出生地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■广西数字政务一体化平台（http://lzlc.zwfw.gxzf.gov.cn/gxzwfw/transition/transToDetail.do?sxcode=11450222007629696T400070900100018&amp;webId=39）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777" w:type="dxa"/>
            <w:vMerge w:val="continue"/>
            <w:tcBorders>
              <w:tl2br w:val="nil"/>
              <w:tr2bl w:val="nil"/>
            </w:tcBorders>
            <w:shd w:val="solid" w:color="FFFFFF" w:fill="auto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更</w:t>
            </w: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  <w:lang w:eastAsia="zh-CN"/>
              </w:rPr>
              <w:t>正</w:t>
            </w: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籍贯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■广西数字政务一体化平台（http://lzlc.zwfw.gxzf.gov.cn/gxzwfw/transition/transToDetail.do?sxcode=11450222007629696T400070900100017&amp;webId=39）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777" w:type="dxa"/>
            <w:vMerge w:val="continue"/>
            <w:tcBorders>
              <w:tl2br w:val="nil"/>
              <w:tr2bl w:val="nil"/>
            </w:tcBorders>
            <w:shd w:val="solid" w:color="FFFFFF" w:fill="auto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变更身高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■广西数字政务一体化平台（http://lzlc.zwfw.gxzf.gov.cn/gxzwfw/transition/transToDetail.do?sxcode=11450222007629696T400070900100015&amp;webId=39）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777" w:type="dxa"/>
            <w:vMerge w:val="continue"/>
            <w:tcBorders>
              <w:tl2br w:val="nil"/>
              <w:tr2bl w:val="nil"/>
            </w:tcBorders>
            <w:shd w:val="solid" w:color="FFFFFF" w:fill="auto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变更血型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■广西数字政务一体化平台（http://lzlc.zwfw.gxzf.gov.cn/gxzwfw/transition/transToDetail.do?sxcode=11450222007629696T400070900100016&amp;webId=39）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19</w:t>
            </w:r>
          </w:p>
        </w:tc>
        <w:tc>
          <w:tcPr>
            <w:tcW w:w="777" w:type="dxa"/>
            <w:vMerge w:val="continue"/>
            <w:tcBorders>
              <w:tl2br w:val="nil"/>
              <w:tr2bl w:val="nil"/>
            </w:tcBorders>
            <w:shd w:val="solid" w:color="FFFFFF" w:fill="auto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变更文化程度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■广西数字政务一体化平台（http://lzlc.zwfw.gxzf.gov.cn/gxzwfw/transition/transToDetail.do?sxcode=11450222007629696T400070900100012&amp;webId=39）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vMerge w:val="continue"/>
            <w:tcBorders>
              <w:tl2br w:val="nil"/>
              <w:tr2bl w:val="nil"/>
            </w:tcBorders>
            <w:shd w:val="solid" w:color="FFFFFF" w:fill="auto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变更婚姻状况</w:t>
            </w:r>
          </w:p>
        </w:tc>
        <w:tc>
          <w:tcPr>
            <w:tcW w:w="1410" w:type="dxa"/>
            <w:tcBorders>
              <w:tl2br w:val="nil"/>
              <w:tr2bl w:val="nil"/>
            </w:tcBorders>
          </w:tcPr>
          <w:p>
            <w:pPr>
              <w:autoSpaceDE w:val="0"/>
              <w:autoSpaceDN w:val="0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■广西数字政务一体化平台（http://lzlc.zwfw.gxzf.gov.cn/gxzwfw/transition/transToDetail.do?sxcode=11450222007629696T400070900100010&amp;webId=39）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777" w:type="dxa"/>
            <w:vMerge w:val="continue"/>
            <w:tcBorders>
              <w:tl2br w:val="nil"/>
              <w:tr2bl w:val="nil"/>
            </w:tcBorders>
            <w:shd w:val="solid" w:color="FFFFFF" w:fill="auto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变更兵役状况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■广西数字政务一体化平台（http://lzlc.zwfw.gxzf.gov.cn/gxzwfw/transition/transToDetail.do?sxcode=11450222007629696T400070900100022&amp;webId=39）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777" w:type="dxa"/>
            <w:vMerge w:val="continue"/>
            <w:tcBorders>
              <w:tl2br w:val="nil"/>
              <w:tr2bl w:val="nil"/>
            </w:tcBorders>
            <w:shd w:val="solid" w:color="FFFFFF" w:fill="auto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变更服务处所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■广西数字政务一体化平台（http://lzlc.zwfw.gxzf.gov.cn/gxzwfw/transition/transToDetail.do?sxcode=11450222007629696T400070900100004&amp;webId=39）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777" w:type="dxa"/>
            <w:vMerge w:val="continue"/>
            <w:tcBorders>
              <w:tl2br w:val="nil"/>
              <w:tr2bl w:val="nil"/>
            </w:tcBorders>
            <w:shd w:val="solid" w:color="FFFFFF" w:fill="auto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变更职业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■广西数字政务一体化平台（http://lzlc.zwfw.gxzf.gov.cn/gxzwfw/transition/transToDetail.do?sxcode=11450222007629696T400070900100007&amp;webId=39）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核发居民身份证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核发居民身份证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受理部门、办理条件、办理流程、所需材料、办理时限、收费依据及标准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《中华人民共和国居民身份证法》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■广西数字政务一体化平台（http://lzlc.zwfw.gxzf.gov.cn/gxzwfw/transition/transToDetail.do?sxcode=11450222007629696T4000709004000&amp;webId=39）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核发临时居民身份证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核发临时居民身份证</w:t>
            </w:r>
          </w:p>
        </w:tc>
        <w:tc>
          <w:tcPr>
            <w:tcW w:w="1410" w:type="dxa"/>
            <w:tcBorders>
              <w:tl2br w:val="nil"/>
              <w:tr2bl w:val="nil"/>
            </w:tcBorders>
          </w:tcPr>
          <w:p>
            <w:pPr>
              <w:autoSpaceDE w:val="0"/>
              <w:autoSpaceDN w:val="0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《临时居民身份证管理办法》、《政府信息公开条例》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居住登记及居住证管理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居住登记</w:t>
            </w:r>
          </w:p>
        </w:tc>
        <w:tc>
          <w:tcPr>
            <w:tcW w:w="1410" w:type="dxa"/>
            <w:tcBorders>
              <w:tl2br w:val="nil"/>
              <w:tr2bl w:val="nil"/>
            </w:tcBorders>
          </w:tcPr>
          <w:p>
            <w:pPr>
              <w:autoSpaceDE w:val="0"/>
              <w:autoSpaceDN w:val="0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《中华人民共和国户口登记条例》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居住证签注</w:t>
            </w:r>
          </w:p>
        </w:tc>
        <w:tc>
          <w:tcPr>
            <w:tcW w:w="1410" w:type="dxa"/>
            <w:tcBorders>
              <w:tl2br w:val="nil"/>
              <w:tr2bl w:val="nil"/>
            </w:tcBorders>
          </w:tcPr>
          <w:p>
            <w:pPr>
              <w:autoSpaceDE w:val="0"/>
              <w:autoSpaceDN w:val="0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《居住证暂行条例》、《政府信息公开条例》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777" w:type="dxa"/>
            <w:tcBorders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核发居住证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广西壮族自治区居住证</w:t>
            </w:r>
          </w:p>
        </w:tc>
        <w:tc>
          <w:tcPr>
            <w:tcW w:w="1410" w:type="dxa"/>
            <w:tcBorders>
              <w:tl2br w:val="nil"/>
              <w:tr2bl w:val="nil"/>
            </w:tcBorders>
          </w:tcPr>
          <w:p>
            <w:pPr>
              <w:autoSpaceDE w:val="0"/>
              <w:autoSpaceDN w:val="0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《居住证暂行条例》、《政府信息公开条例》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■广西数字政务一体化平台（http://lzlc.zwfw.gxzf.gov.cn/gxzwfw/transition/transToDetail.do?sxcode=11450222007629696T400070900500002&amp;webId=39）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4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29</w:t>
            </w: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核发居住证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20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highlight w:val="none"/>
              </w:rPr>
              <w:t>中华人民共和国港澳台居民居住证</w:t>
            </w:r>
          </w:p>
        </w:tc>
        <w:tc>
          <w:tcPr>
            <w:tcW w:w="1410" w:type="dxa"/>
            <w:tcBorders>
              <w:tl2br w:val="nil"/>
              <w:tr2bl w:val="nil"/>
            </w:tcBorders>
          </w:tcPr>
          <w:p>
            <w:pPr>
              <w:autoSpaceDE w:val="0"/>
              <w:autoSpaceDN w:val="0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197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《港澳台居民居住证申领发放办法》、《政府信息公开条例》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形成或者变更之日起20个工作日内予以公开</w:t>
            </w: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柳城县公安局</w:t>
            </w:r>
          </w:p>
        </w:tc>
        <w:tc>
          <w:tcPr>
            <w:tcW w:w="2402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■广西数字政务一体化平台（http://lzlc.zwfw.gxzf.gov.cn/gxzwfw/transition/transToDetail.do?sxcode=11450222007629696T400070900500001&amp;webId=39）                             ■现场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/>
                <w:color w:val="000000"/>
                <w:sz w:val="1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highlight w:val="none"/>
              </w:rPr>
              <w:t>√</w:t>
            </w:r>
          </w:p>
        </w:tc>
      </w:tr>
    </w:tbl>
    <w:p>
      <w:pPr>
        <w:sectPr>
          <w:type w:val="continuous"/>
          <w:pgSz w:w="16838" w:h="11906" w:orient="landscape"/>
          <w:pgMar w:top="737" w:right="873" w:bottom="851" w:left="87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titlePg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TNlYTYyNjU1OGI4MzM0NWYzNDFlNmExMmM2YmMzYzYifQ=="/>
  </w:docVars>
  <w:rsids>
    <w:rsidRoot w:val="00A37827"/>
    <w:rsid w:val="00A37827"/>
    <w:rsid w:val="00CE4808"/>
    <w:rsid w:val="081E2B58"/>
    <w:rsid w:val="0C4C71A4"/>
    <w:rsid w:val="0EE04B74"/>
    <w:rsid w:val="112B0CFF"/>
    <w:rsid w:val="12A6651A"/>
    <w:rsid w:val="16F34912"/>
    <w:rsid w:val="268E25A0"/>
    <w:rsid w:val="6AFF7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4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3485</Words>
  <Characters>6404</Characters>
  <Lines>47</Lines>
  <Paragraphs>13</Paragraphs>
  <TotalTime>24</TotalTime>
  <ScaleCrop>false</ScaleCrop>
  <LinksUpToDate>false</LinksUpToDate>
  <CharactersWithSpaces>7200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2020-11-29T02:18:00Z</dcterms:created>
  <dc:creator>Lenovo</dc:creator>
  <cp:lastModifiedBy>Administrator</cp:lastModifiedBy>
  <dcterms:modified xsi:type="dcterms:W3CDTF">2023-05-09T07:36:21Z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ICV">
    <vt:lpwstr>DC78C9B68E0B48B1A9968B83F94FB6B9</vt:lpwstr>
  </property>
</Properties>
</file>