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ind w:firstLine="0" w:firstLineChars="0"/>
        <w:jc w:val="center"/>
        <w:rPr>
          <w:rFonts w:hint="eastAsia" w:ascii="方正小标宋简体" w:hAnsi="方正小标宋简体" w:eastAsia="方正小标宋简体" w:cs="方正小标宋简体"/>
          <w:color w:val="auto"/>
          <w:sz w:val="44"/>
          <w:szCs w:val="44"/>
        </w:rPr>
      </w:pPr>
      <w:bookmarkStart w:id="0" w:name="_Toc534757612"/>
      <w:r>
        <w:rPr>
          <w:rFonts w:hint="eastAsia" w:ascii="方正小标宋简体" w:hAnsi="方正小标宋简体" w:eastAsia="方正小标宋简体" w:cs="方正小标宋简体"/>
          <w:color w:val="auto"/>
          <w:sz w:val="44"/>
          <w:szCs w:val="44"/>
          <w:lang w:eastAsia="zh-CN"/>
        </w:rPr>
        <w:t>柳城县</w:t>
      </w:r>
      <w:r>
        <w:rPr>
          <w:rFonts w:hint="eastAsia" w:ascii="方正小标宋简体" w:hAnsi="方正小标宋简体" w:eastAsia="方正小标宋简体" w:cs="方正小标宋简体"/>
          <w:color w:val="auto"/>
          <w:sz w:val="44"/>
          <w:szCs w:val="44"/>
        </w:rPr>
        <w:t>202</w:t>
      </w:r>
      <w:r>
        <w:rPr>
          <w:rFonts w:hint="eastAsia" w:ascii="方正小标宋简体" w:hAnsi="方正小标宋简体" w:eastAsia="方正小标宋简体" w:cs="方正小标宋简体"/>
          <w:color w:val="auto"/>
          <w:sz w:val="44"/>
          <w:szCs w:val="44"/>
          <w:lang w:val="en-US" w:eastAsia="zh-CN"/>
        </w:rPr>
        <w:t>3</w:t>
      </w:r>
      <w:r>
        <w:rPr>
          <w:rFonts w:hint="eastAsia" w:ascii="方正小标宋简体" w:hAnsi="方正小标宋简体" w:eastAsia="方正小标宋简体" w:cs="方正小标宋简体"/>
          <w:color w:val="auto"/>
          <w:sz w:val="44"/>
          <w:szCs w:val="44"/>
        </w:rPr>
        <w:t>年度土壤污染防治工作计划</w:t>
      </w:r>
    </w:p>
    <w:p>
      <w:pPr>
        <w:widowControl w:val="0"/>
        <w:spacing w:line="600" w:lineRule="exact"/>
        <w:rPr>
          <w:rFonts w:hint="eastAsia" w:ascii="仿宋_GB2312" w:hAnsi="仿宋_GB2312" w:eastAsia="仿宋_GB2312" w:cs="仿宋_GB2312"/>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2023 年是全面贯彻落实党的二十大精神的开局之年，是实施“十四五”规划承前启后的关键之年，是深入打好污染防治攻坚战、推进美丽中国建设的重要一年</w:t>
      </w:r>
      <w:r>
        <w:rPr>
          <w:rFonts w:hint="eastAsia" w:ascii="仿宋_GB2312" w:hAnsi="仿宋_GB2312" w:cs="仿宋_GB2312"/>
          <w:bCs/>
          <w:color w:val="auto"/>
          <w:sz w:val="32"/>
          <w:szCs w:val="32"/>
          <w:lang w:val="en-US" w:eastAsia="zh-CN"/>
        </w:rPr>
        <w:t>。</w:t>
      </w:r>
      <w:r>
        <w:rPr>
          <w:rFonts w:hint="eastAsia" w:ascii="仿宋_GB2312" w:hAnsi="仿宋_GB2312" w:eastAsia="仿宋_GB2312" w:cs="仿宋_GB2312"/>
          <w:bCs/>
          <w:color w:val="auto"/>
          <w:sz w:val="32"/>
          <w:szCs w:val="32"/>
          <w:lang w:val="en-US" w:eastAsia="zh-CN"/>
        </w:rPr>
        <w:t>为持续改善我县土壤环境质量，确保年度各项工作顺利推进，特制定实施本计划</w:t>
      </w:r>
      <w:r>
        <w:rPr>
          <w:rFonts w:hint="eastAsia" w:ascii="仿宋_GB2312" w:hAnsi="仿宋_GB2312" w:eastAsia="仿宋_GB2312" w:cs="仿宋_GB2312"/>
          <w:bCs/>
          <w:color w:val="auto"/>
          <w:sz w:val="32"/>
          <w:szCs w:val="32"/>
        </w:rPr>
        <w:t>。</w:t>
      </w:r>
    </w:p>
    <w:p>
      <w:pPr>
        <w:keepNext w:val="0"/>
        <w:keepLines w:val="0"/>
        <w:pageBreakBefore w:val="0"/>
        <w:widowControl w:val="0"/>
        <w:numPr>
          <w:ilvl w:val="0"/>
          <w:numId w:val="1"/>
        </w:numPr>
        <w:kinsoku/>
        <w:wordWrap/>
        <w:overflowPunct/>
        <w:topLinePunct w:val="0"/>
        <w:autoSpaceDE/>
        <w:autoSpaceDN/>
        <w:bidi w:val="0"/>
        <w:adjustRightInd/>
        <w:spacing w:line="560" w:lineRule="exact"/>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目标指标</w:t>
      </w:r>
    </w:p>
    <w:p>
      <w:pPr>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202</w:t>
      </w:r>
      <w:r>
        <w:rPr>
          <w:rFonts w:hint="eastAsia" w:ascii="仿宋_GB2312" w:hAnsi="仿宋_GB2312" w:eastAsia="仿宋_GB2312" w:cs="仿宋_GB2312"/>
          <w:bCs/>
          <w:color w:val="auto"/>
          <w:sz w:val="32"/>
          <w:szCs w:val="32"/>
          <w:lang w:val="en-US" w:eastAsia="zh-CN"/>
        </w:rPr>
        <w:t>3</w:t>
      </w:r>
      <w:r>
        <w:rPr>
          <w:rFonts w:hint="eastAsia" w:ascii="仿宋_GB2312" w:hAnsi="仿宋_GB2312" w:eastAsia="仿宋_GB2312" w:cs="仿宋_GB2312"/>
          <w:bCs/>
          <w:color w:val="auto"/>
          <w:sz w:val="32"/>
          <w:szCs w:val="32"/>
        </w:rPr>
        <w:t>年，坚持以保障农产品质量安全、人居环境安全和坚决遏制土壤污染事故发生为底线目标，对照“十四五”目标及时序进度要求，实现全</w:t>
      </w:r>
      <w:r>
        <w:rPr>
          <w:rFonts w:hint="eastAsia" w:ascii="仿宋_GB2312" w:hAnsi="仿宋_GB2312" w:eastAsia="仿宋_GB2312" w:cs="仿宋_GB2312"/>
          <w:bCs/>
          <w:color w:val="auto"/>
          <w:sz w:val="32"/>
          <w:szCs w:val="32"/>
          <w:lang w:eastAsia="zh-CN"/>
        </w:rPr>
        <w:t>县农用地</w:t>
      </w:r>
      <w:r>
        <w:rPr>
          <w:rFonts w:hint="eastAsia" w:ascii="仿宋_GB2312" w:hAnsi="仿宋_GB2312" w:eastAsia="仿宋_GB2312" w:cs="仿宋_GB2312"/>
          <w:bCs/>
          <w:color w:val="auto"/>
          <w:sz w:val="32"/>
          <w:szCs w:val="32"/>
        </w:rPr>
        <w:t>安全利用率达到9</w:t>
      </w:r>
      <w:r>
        <w:rPr>
          <w:rFonts w:hint="eastAsia" w:ascii="仿宋_GB2312" w:hAnsi="仿宋_GB2312" w:eastAsia="仿宋_GB2312" w:cs="仿宋_GB2312"/>
          <w:bCs/>
          <w:color w:val="auto"/>
          <w:sz w:val="32"/>
          <w:szCs w:val="32"/>
          <w:lang w:val="en-US" w:eastAsia="zh-CN"/>
        </w:rPr>
        <w:t>1</w:t>
      </w:r>
      <w:r>
        <w:rPr>
          <w:rFonts w:hint="eastAsia" w:ascii="仿宋_GB2312" w:hAnsi="仿宋_GB2312" w:eastAsia="仿宋_GB2312" w:cs="仿宋_GB2312"/>
          <w:bCs/>
          <w:color w:val="auto"/>
          <w:sz w:val="32"/>
          <w:szCs w:val="32"/>
        </w:rPr>
        <w:t>%以上、重点建设用地安全利用得到有效保障；</w:t>
      </w:r>
      <w:r>
        <w:rPr>
          <w:rFonts w:hint="eastAsia" w:ascii="仿宋_GB2312" w:hAnsi="仿宋_GB2312" w:eastAsia="仿宋_GB2312" w:cs="仿宋_GB2312"/>
          <w:bCs/>
          <w:color w:val="auto"/>
          <w:sz w:val="32"/>
          <w:szCs w:val="32"/>
          <w:lang w:val="en-US" w:eastAsia="zh-CN"/>
        </w:rPr>
        <w:t>国家地下水环境质量考核点位水质总体保持稳定</w:t>
      </w:r>
      <w:r>
        <w:rPr>
          <w:rFonts w:hint="eastAsia" w:ascii="仿宋_GB2312" w:hAnsi="仿宋_GB2312" w:eastAsia="仿宋_GB2312" w:cs="仿宋_GB2312"/>
          <w:bCs/>
          <w:color w:val="auto"/>
          <w:sz w:val="32"/>
          <w:szCs w:val="32"/>
        </w:rPr>
        <w:t>。</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二、重点任务</w:t>
      </w:r>
      <w:bookmarkEnd w:id="0"/>
      <w:bookmarkStart w:id="1" w:name="_Toc534757613"/>
      <w:bookmarkStart w:id="2" w:name="_Toc530747059"/>
    </w:p>
    <w:p>
      <w:pPr>
        <w:keepNext w:val="0"/>
        <w:keepLines w:val="0"/>
        <w:pageBreakBefore w:val="0"/>
        <w:widowControl w:val="0"/>
        <w:kinsoku/>
        <w:wordWrap/>
        <w:overflowPunct/>
        <w:topLinePunct w:val="0"/>
        <w:autoSpaceDE/>
        <w:autoSpaceDN/>
        <w:bidi w:val="0"/>
        <w:adjustRightInd/>
        <w:spacing w:line="560" w:lineRule="exact"/>
        <w:ind w:left="640" w:firstLine="0" w:firstLineChars="0"/>
        <w:textAlignment w:val="auto"/>
        <w:outlineLvl w:val="1"/>
        <w:rPr>
          <w:rFonts w:hint="eastAsia" w:ascii="楷体_GB2312" w:hAnsi="楷体_GB2312" w:eastAsia="楷体_GB2312" w:cs="楷体_GB2312"/>
          <w:b/>
          <w:bCs w:val="0"/>
          <w:color w:val="auto"/>
          <w:kern w:val="2"/>
          <w:sz w:val="32"/>
          <w:szCs w:val="32"/>
        </w:rPr>
      </w:pPr>
      <w:r>
        <w:rPr>
          <w:rFonts w:hint="eastAsia" w:ascii="楷体_GB2312" w:hAnsi="楷体_GB2312" w:eastAsia="楷体_GB2312" w:cs="楷体_GB2312"/>
          <w:b/>
          <w:bCs w:val="0"/>
          <w:color w:val="auto"/>
          <w:kern w:val="2"/>
          <w:sz w:val="32"/>
          <w:szCs w:val="32"/>
        </w:rPr>
        <w:t>（一）</w:t>
      </w:r>
      <w:bookmarkEnd w:id="1"/>
      <w:bookmarkEnd w:id="2"/>
      <w:bookmarkStart w:id="3" w:name="_Toc530747060"/>
      <w:r>
        <w:rPr>
          <w:rFonts w:hint="eastAsia" w:ascii="楷体_GB2312" w:hAnsi="楷体_GB2312" w:eastAsia="楷体_GB2312" w:cs="楷体_GB2312"/>
          <w:b/>
          <w:bCs w:val="0"/>
          <w:color w:val="auto"/>
          <w:sz w:val="32"/>
          <w:szCs w:val="32"/>
        </w:rPr>
        <w:t>加强耕地涉镉污染源排查整治</w:t>
      </w:r>
    </w:p>
    <w:p>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w:t>
      </w:r>
      <w:bookmarkEnd w:id="3"/>
      <w:r>
        <w:rPr>
          <w:rFonts w:hint="eastAsia" w:ascii="仿宋_GB2312" w:hAnsi="仿宋_GB2312" w:eastAsia="仿宋_GB2312" w:cs="仿宋_GB2312"/>
          <w:b/>
          <w:bCs/>
          <w:color w:val="auto"/>
          <w:sz w:val="32"/>
          <w:szCs w:val="32"/>
        </w:rPr>
        <w:t>开展农用地土壤镉等重金属污染源排查整治</w:t>
      </w:r>
    </w:p>
    <w:p>
      <w:pPr>
        <w:keepNext w:val="0"/>
        <w:keepLines w:val="0"/>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结合农用</w:t>
      </w:r>
      <w:r>
        <w:rPr>
          <w:rFonts w:hint="eastAsia" w:ascii="仿宋_GB2312" w:hAnsi="仿宋_GB2312" w:eastAsia="仿宋_GB2312" w:cs="仿宋_GB2312"/>
          <w:bCs/>
          <w:color w:val="auto"/>
          <w:sz w:val="32"/>
          <w:szCs w:val="32"/>
          <w:lang w:val="en-US" w:eastAsia="zh-CN"/>
        </w:rPr>
        <w:t>地土壤污染状况详查、重点行业企业用地土壤污染状况调查、第二次全国污染源普查、建设项目环境影响评价、排污许可、粮食质量安全风险监测等最新数据，持续更新重点区域和污染源整治清单，逐一制定整治方案。开展列</w:t>
      </w:r>
      <w:r>
        <w:rPr>
          <w:rFonts w:hint="eastAsia" w:ascii="仿宋_GB2312" w:hAnsi="仿宋_GB2312" w:eastAsia="仿宋_GB2312" w:cs="仿宋_GB2312"/>
          <w:bCs/>
          <w:color w:val="auto"/>
          <w:sz w:val="32"/>
          <w:szCs w:val="32"/>
          <w:lang w:eastAsia="zh-CN"/>
        </w:rPr>
        <w:t>入</w:t>
      </w:r>
      <w:r>
        <w:rPr>
          <w:rFonts w:hint="eastAsia" w:ascii="仿宋_GB2312" w:hAnsi="仿宋_GB2312" w:eastAsia="仿宋_GB2312" w:cs="仿宋_GB2312"/>
          <w:bCs/>
          <w:color w:val="auto"/>
          <w:sz w:val="32"/>
          <w:szCs w:val="32"/>
        </w:rPr>
        <w:t>涉镉等重金属重点行业企业</w:t>
      </w:r>
      <w:r>
        <w:rPr>
          <w:rFonts w:hint="eastAsia" w:ascii="仿宋_GB2312" w:hAnsi="仿宋_GB2312" w:eastAsia="仿宋_GB2312" w:cs="仿宋_GB2312"/>
          <w:bCs/>
          <w:color w:val="auto"/>
          <w:sz w:val="32"/>
          <w:szCs w:val="32"/>
          <w:lang w:val="en-US" w:eastAsia="zh-CN"/>
        </w:rPr>
        <w:t>6家单位的</w:t>
      </w:r>
      <w:r>
        <w:rPr>
          <w:rFonts w:hint="eastAsia" w:ascii="仿宋_GB2312" w:hAnsi="仿宋_GB2312" w:eastAsia="仿宋_GB2312" w:cs="仿宋_GB2312"/>
          <w:bCs/>
          <w:color w:val="auto"/>
          <w:sz w:val="32"/>
          <w:szCs w:val="32"/>
        </w:rPr>
        <w:t>排查</w:t>
      </w:r>
      <w:r>
        <w:rPr>
          <w:rFonts w:hint="eastAsia" w:ascii="仿宋_GB2312" w:hAnsi="仿宋_GB2312" w:eastAsia="仿宋_GB2312" w:cs="仿宋_GB2312"/>
          <w:bCs/>
          <w:color w:val="auto"/>
          <w:sz w:val="32"/>
          <w:szCs w:val="32"/>
          <w:lang w:eastAsia="zh-CN"/>
        </w:rPr>
        <w:t>整治工作</w:t>
      </w: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bCs/>
          <w:color w:val="auto"/>
          <w:sz w:val="32"/>
          <w:szCs w:val="32"/>
          <w:lang w:eastAsia="zh-CN"/>
        </w:rPr>
        <w:t>柳城</w:t>
      </w:r>
      <w:r>
        <w:rPr>
          <w:rFonts w:hint="eastAsia" w:ascii="仿宋_GB2312" w:hAnsi="仿宋_GB2312" w:eastAsia="仿宋_GB2312" w:cs="仿宋_GB2312"/>
          <w:bCs/>
          <w:color w:val="auto"/>
          <w:sz w:val="32"/>
          <w:szCs w:val="32"/>
        </w:rPr>
        <w:t>生态环境局牵头，</w:t>
      </w:r>
      <w:r>
        <w:rPr>
          <w:rFonts w:hint="eastAsia" w:ascii="仿宋_GB2312" w:hAnsi="仿宋_GB2312" w:eastAsia="仿宋_GB2312" w:cs="仿宋_GB2312"/>
          <w:bCs/>
          <w:color w:val="auto"/>
          <w:sz w:val="32"/>
          <w:szCs w:val="32"/>
          <w:lang w:eastAsia="zh-CN"/>
        </w:rPr>
        <w:t>县</w:t>
      </w:r>
      <w:r>
        <w:rPr>
          <w:rFonts w:hint="eastAsia" w:ascii="仿宋_GB2312" w:hAnsi="仿宋_GB2312" w:eastAsia="仿宋_GB2312" w:cs="仿宋_GB2312"/>
          <w:bCs/>
          <w:color w:val="auto"/>
          <w:sz w:val="32"/>
          <w:szCs w:val="32"/>
        </w:rPr>
        <w:t>农业农村局、</w:t>
      </w:r>
      <w:r>
        <w:rPr>
          <w:rFonts w:hint="eastAsia" w:ascii="仿宋_GB2312" w:hAnsi="仿宋_GB2312" w:eastAsia="仿宋_GB2312" w:cs="仿宋_GB2312"/>
          <w:bCs/>
          <w:color w:val="auto"/>
          <w:sz w:val="32"/>
          <w:szCs w:val="32"/>
          <w:lang w:eastAsia="zh-CN"/>
        </w:rPr>
        <w:t>县</w:t>
      </w:r>
      <w:r>
        <w:rPr>
          <w:rFonts w:hint="eastAsia" w:ascii="仿宋_GB2312" w:hAnsi="仿宋_GB2312" w:eastAsia="仿宋_GB2312" w:cs="仿宋_GB2312"/>
          <w:bCs/>
          <w:color w:val="auto"/>
          <w:sz w:val="32"/>
          <w:szCs w:val="32"/>
        </w:rPr>
        <w:t>自然资源和规划局、</w:t>
      </w:r>
      <w:r>
        <w:rPr>
          <w:rFonts w:hint="eastAsia" w:ascii="仿宋_GB2312" w:hAnsi="仿宋_GB2312" w:eastAsia="仿宋_GB2312" w:cs="仿宋_GB2312"/>
          <w:bCs/>
          <w:color w:val="auto"/>
          <w:sz w:val="32"/>
          <w:szCs w:val="32"/>
          <w:lang w:eastAsia="zh-CN"/>
        </w:rPr>
        <w:t>县发展和改革局（</w:t>
      </w:r>
      <w:r>
        <w:rPr>
          <w:rFonts w:hint="eastAsia" w:ascii="仿宋_GB2312" w:hAnsi="仿宋_GB2312" w:eastAsia="仿宋_GB2312" w:cs="仿宋_GB2312"/>
          <w:bCs/>
          <w:color w:val="auto"/>
          <w:sz w:val="32"/>
          <w:szCs w:val="32"/>
        </w:rPr>
        <w:t>粮食和物资储备局</w:t>
      </w:r>
      <w:r>
        <w:rPr>
          <w:rFonts w:hint="eastAsia" w:ascii="仿宋_GB2312" w:hAnsi="仿宋_GB2312" w:eastAsia="仿宋_GB2312" w:cs="仿宋_GB2312"/>
          <w:bCs/>
          <w:color w:val="auto"/>
          <w:sz w:val="32"/>
          <w:szCs w:val="32"/>
          <w:lang w:eastAsia="zh-CN"/>
        </w:rPr>
        <w:t>）、各乡（镇）人民政府、华侨管理区</w:t>
      </w:r>
      <w:r>
        <w:rPr>
          <w:rFonts w:hint="eastAsia" w:ascii="仿宋_GB2312" w:hAnsi="仿宋_GB2312" w:eastAsia="仿宋_GB2312" w:cs="仿宋_GB2312"/>
          <w:bCs/>
          <w:color w:val="auto"/>
          <w:sz w:val="32"/>
          <w:szCs w:val="32"/>
        </w:rPr>
        <w:t>等参与）</w:t>
      </w:r>
    </w:p>
    <w:p>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lang w:val="en"/>
        </w:rPr>
        <w:t>2.</w:t>
      </w:r>
      <w:r>
        <w:rPr>
          <w:rFonts w:hint="eastAsia" w:ascii="仿宋_GB2312" w:hAnsi="仿宋_GB2312" w:cs="仿宋_GB2312"/>
          <w:b/>
          <w:bCs/>
          <w:color w:val="auto"/>
          <w:sz w:val="32"/>
          <w:szCs w:val="32"/>
          <w:lang w:val="en-US" w:eastAsia="zh-CN"/>
        </w:rPr>
        <w:t>协助</w:t>
      </w:r>
      <w:r>
        <w:rPr>
          <w:rFonts w:hint="eastAsia" w:ascii="仿宋_GB2312" w:hAnsi="仿宋_GB2312" w:eastAsia="仿宋_GB2312" w:cs="仿宋_GB2312"/>
          <w:b/>
          <w:bCs/>
          <w:color w:val="auto"/>
          <w:sz w:val="32"/>
          <w:szCs w:val="32"/>
          <w:lang w:val="en-US" w:eastAsia="zh-CN"/>
        </w:rPr>
        <w:t>开展受污染耕地集中区域污染成因排查整治</w:t>
      </w:r>
    </w:p>
    <w:p>
      <w:pPr>
        <w:keepNext w:val="0"/>
        <w:keepLines w:val="0"/>
        <w:pageBreakBefore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cs="仿宋_GB2312"/>
          <w:bCs/>
          <w:color w:val="auto"/>
          <w:sz w:val="32"/>
          <w:szCs w:val="32"/>
          <w:lang w:val="en-US" w:eastAsia="zh-CN"/>
        </w:rPr>
        <w:t>协助</w:t>
      </w:r>
      <w:r>
        <w:rPr>
          <w:rFonts w:hint="eastAsia" w:ascii="仿宋_GB2312" w:hAnsi="仿宋_GB2312" w:eastAsia="仿宋_GB2312" w:cs="仿宋_GB2312"/>
          <w:bCs/>
          <w:color w:val="auto"/>
          <w:sz w:val="32"/>
          <w:szCs w:val="32"/>
          <w:lang w:val="en-US" w:eastAsia="zh-CN"/>
        </w:rPr>
        <w:t>自治区生态环境厅开展耕地土壤重金属污染成因排查，逐步建立污染源清单；坚持</w:t>
      </w:r>
      <w:r>
        <w:rPr>
          <w:rFonts w:hint="default" w:ascii="仿宋_GB2312" w:hAnsi="仿宋_GB2312" w:eastAsia="仿宋_GB2312" w:cs="仿宋_GB2312"/>
          <w:bCs/>
          <w:color w:val="auto"/>
          <w:sz w:val="32"/>
          <w:szCs w:val="32"/>
          <w:lang w:val="en-US" w:eastAsia="zh-CN"/>
        </w:rPr>
        <w:t>“</w:t>
      </w:r>
      <w:r>
        <w:rPr>
          <w:rFonts w:hint="eastAsia" w:ascii="仿宋_GB2312" w:hAnsi="仿宋_GB2312" w:eastAsia="仿宋_GB2312" w:cs="仿宋_GB2312"/>
          <w:bCs/>
          <w:color w:val="auto"/>
          <w:sz w:val="32"/>
          <w:szCs w:val="32"/>
          <w:lang w:val="en-US" w:eastAsia="zh-CN"/>
        </w:rPr>
        <w:t>边查边治、应控尽控</w:t>
      </w:r>
      <w:r>
        <w:rPr>
          <w:rFonts w:hint="default" w:ascii="仿宋_GB2312" w:hAnsi="仿宋_GB2312" w:eastAsia="仿宋_GB2312" w:cs="仿宋_GB2312"/>
          <w:bCs/>
          <w:color w:val="auto"/>
          <w:sz w:val="32"/>
          <w:szCs w:val="32"/>
          <w:lang w:val="en-US" w:eastAsia="zh-CN"/>
        </w:rPr>
        <w:t>”</w:t>
      </w:r>
      <w:r>
        <w:rPr>
          <w:rFonts w:hint="eastAsia" w:ascii="仿宋_GB2312" w:hAnsi="仿宋_GB2312" w:eastAsia="仿宋_GB2312" w:cs="仿宋_GB2312"/>
          <w:bCs/>
          <w:color w:val="auto"/>
          <w:sz w:val="32"/>
          <w:szCs w:val="32"/>
          <w:lang w:val="en-US" w:eastAsia="zh-CN"/>
        </w:rPr>
        <w:t>，督促、指导已查明污染源的相关县区采取污染源头治理、切断污染物进入农田的链条等措施，有效降低重金属污染物对耕地土壤的影响。（柳城</w:t>
      </w:r>
      <w:r>
        <w:rPr>
          <w:rFonts w:hint="default" w:ascii="仿宋_GB2312" w:hAnsi="仿宋_GB2312" w:eastAsia="仿宋_GB2312" w:cs="仿宋_GB2312"/>
          <w:bCs/>
          <w:color w:val="auto"/>
          <w:sz w:val="32"/>
          <w:szCs w:val="32"/>
          <w:lang w:val="en-US" w:eastAsia="zh-CN"/>
        </w:rPr>
        <w:t>生态环境局牵头，</w:t>
      </w:r>
      <w:r>
        <w:rPr>
          <w:rFonts w:hint="eastAsia" w:ascii="仿宋_GB2312" w:hAnsi="仿宋_GB2312" w:eastAsia="仿宋_GB2312" w:cs="仿宋_GB2312"/>
          <w:bCs/>
          <w:color w:val="auto"/>
          <w:sz w:val="32"/>
          <w:szCs w:val="32"/>
          <w:lang w:val="en-US" w:eastAsia="zh-CN"/>
        </w:rPr>
        <w:t>县</w:t>
      </w:r>
      <w:r>
        <w:rPr>
          <w:rFonts w:hint="default" w:ascii="仿宋_GB2312" w:hAnsi="仿宋_GB2312" w:eastAsia="仿宋_GB2312" w:cs="仿宋_GB2312"/>
          <w:bCs/>
          <w:color w:val="auto"/>
          <w:sz w:val="32"/>
          <w:szCs w:val="32"/>
          <w:lang w:val="en-US" w:eastAsia="zh-CN"/>
        </w:rPr>
        <w:t>农业农村局、</w:t>
      </w:r>
      <w:r>
        <w:rPr>
          <w:rFonts w:hint="eastAsia" w:ascii="仿宋_GB2312" w:hAnsi="仿宋_GB2312" w:eastAsia="仿宋_GB2312" w:cs="仿宋_GB2312"/>
          <w:bCs/>
          <w:color w:val="auto"/>
          <w:sz w:val="32"/>
          <w:szCs w:val="32"/>
          <w:lang w:val="en-US" w:eastAsia="zh-CN"/>
        </w:rPr>
        <w:t>县</w:t>
      </w:r>
      <w:r>
        <w:rPr>
          <w:rFonts w:hint="default" w:ascii="仿宋_GB2312" w:hAnsi="仿宋_GB2312" w:eastAsia="仿宋_GB2312" w:cs="仿宋_GB2312"/>
          <w:bCs/>
          <w:color w:val="auto"/>
          <w:sz w:val="32"/>
          <w:szCs w:val="32"/>
          <w:lang w:val="en-US" w:eastAsia="zh-CN"/>
        </w:rPr>
        <w:t>自然资源和规划局</w:t>
      </w:r>
      <w:r>
        <w:rPr>
          <w:rFonts w:hint="eastAsia" w:ascii="仿宋_GB2312" w:hAnsi="仿宋_GB2312" w:eastAsia="仿宋_GB2312" w:cs="仿宋_GB2312"/>
          <w:bCs/>
          <w:color w:val="auto"/>
          <w:sz w:val="32"/>
          <w:szCs w:val="32"/>
          <w:lang w:val="en-US" w:eastAsia="zh-CN"/>
        </w:rPr>
        <w:t>、各乡镇人民政府</w:t>
      </w:r>
      <w:r>
        <w:rPr>
          <w:rFonts w:hint="default" w:ascii="仿宋_GB2312" w:hAnsi="仿宋_GB2312" w:eastAsia="仿宋_GB2312" w:cs="仿宋_GB2312"/>
          <w:bCs/>
          <w:color w:val="auto"/>
          <w:sz w:val="32"/>
          <w:szCs w:val="32"/>
          <w:lang w:val="en-US" w:eastAsia="zh-CN"/>
        </w:rPr>
        <w:t>等参与）</w:t>
      </w:r>
    </w:p>
    <w:p>
      <w:pPr>
        <w:keepNext w:val="0"/>
        <w:keepLines w:val="0"/>
        <w:pageBreakBefore w:val="0"/>
        <w:kinsoku/>
        <w:wordWrap/>
        <w:overflowPunct/>
        <w:topLinePunct w:val="0"/>
        <w:autoSpaceDE/>
        <w:autoSpaceDN/>
        <w:bidi w:val="0"/>
        <w:adjustRightInd/>
        <w:spacing w:line="560" w:lineRule="exact"/>
        <w:textAlignment w:val="auto"/>
        <w:outlineLvl w:val="1"/>
        <w:rPr>
          <w:rFonts w:hint="eastAsia" w:ascii="楷体_GB2312" w:hAnsi="楷体_GB2312" w:eastAsia="楷体_GB2312" w:cs="楷体_GB2312"/>
          <w:b/>
          <w:bCs w:val="0"/>
          <w:color w:val="auto"/>
          <w:sz w:val="32"/>
          <w:szCs w:val="32"/>
        </w:rPr>
      </w:pPr>
      <w:r>
        <w:rPr>
          <w:rFonts w:hint="eastAsia" w:ascii="楷体_GB2312" w:hAnsi="楷体_GB2312" w:eastAsia="楷体_GB2312" w:cs="楷体_GB2312"/>
          <w:b/>
          <w:bCs w:val="0"/>
          <w:color w:val="auto"/>
          <w:sz w:val="32"/>
          <w:szCs w:val="32"/>
        </w:rPr>
        <w:t>（二）强化在产企业监管与污染预防</w:t>
      </w:r>
    </w:p>
    <w:p>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1.压实土壤污染重点监管单位监督责任</w:t>
      </w:r>
    </w:p>
    <w:p>
      <w:pPr>
        <w:keepNext w:val="0"/>
        <w:keepLines w:val="0"/>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Cs/>
          <w:color w:val="auto"/>
          <w:sz w:val="32"/>
          <w:szCs w:val="32"/>
          <w:lang w:eastAsia="zh-CN"/>
        </w:rPr>
        <w:t>根据上级制定</w:t>
      </w:r>
      <w:r>
        <w:rPr>
          <w:rFonts w:hint="eastAsia" w:ascii="仿宋_GB2312" w:hAnsi="仿宋_GB2312" w:eastAsia="仿宋_GB2312" w:cs="仿宋_GB2312"/>
          <w:bCs/>
          <w:color w:val="auto"/>
          <w:sz w:val="32"/>
          <w:szCs w:val="32"/>
        </w:rPr>
        <w:t>年度土壤污染重点监管单位名录，明确并监督落实土壤污染防治义务。</w:t>
      </w:r>
      <w:r>
        <w:rPr>
          <w:rFonts w:hint="eastAsia" w:cs="Times New Roman"/>
          <w:color w:val="auto"/>
          <w:sz w:val="32"/>
          <w:szCs w:val="32"/>
          <w:highlight w:val="none"/>
          <w:lang w:val="en-US" w:eastAsia="zh-CN"/>
        </w:rPr>
        <w:t>协助</w:t>
      </w:r>
      <w:r>
        <w:rPr>
          <w:rFonts w:hint="default" w:ascii="Times New Roman" w:hAnsi="Times New Roman" w:eastAsia="仿宋_GB2312" w:cs="Times New Roman"/>
          <w:color w:val="auto"/>
          <w:sz w:val="32"/>
          <w:szCs w:val="32"/>
          <w:highlight w:val="none"/>
          <w:lang w:val="en-US" w:eastAsia="zh-CN"/>
        </w:rPr>
        <w:t>自治区生态环境厅开展土壤污染重点监管单位周边土壤环境监测</w:t>
      </w:r>
      <w:r>
        <w:rPr>
          <w:rFonts w:hint="eastAsia" w:cs="Times New Roman"/>
          <w:color w:val="auto"/>
          <w:sz w:val="32"/>
          <w:szCs w:val="32"/>
          <w:highlight w:val="none"/>
          <w:lang w:val="en-US" w:eastAsia="zh-CN"/>
        </w:rPr>
        <w:t>；</w:t>
      </w:r>
      <w:r>
        <w:rPr>
          <w:rFonts w:hint="eastAsia" w:ascii="仿宋_GB2312" w:hAnsi="仿宋_GB2312" w:eastAsia="仿宋_GB2312" w:cs="仿宋_GB2312"/>
          <w:bCs/>
          <w:color w:val="auto"/>
          <w:sz w:val="32"/>
          <w:szCs w:val="32"/>
        </w:rPr>
        <w:t>督促重点监管单位规范做好本年度土壤污染隐患排查，自行监测，信息公开，设施、设备或者建（构）筑物拆除的土壤污染防治工作方案备案等相关工作。</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柳城</w:t>
      </w:r>
      <w:r>
        <w:rPr>
          <w:rFonts w:hint="eastAsia" w:ascii="仿宋_GB2312" w:hAnsi="仿宋_GB2312" w:eastAsia="仿宋_GB2312" w:cs="仿宋_GB2312"/>
          <w:color w:val="auto"/>
          <w:sz w:val="32"/>
          <w:szCs w:val="32"/>
        </w:rPr>
        <w:t>生态环境局牵头，</w:t>
      </w:r>
      <w:r>
        <w:rPr>
          <w:rFonts w:hint="eastAsia" w:ascii="仿宋_GB2312" w:hAnsi="仿宋_GB2312" w:eastAsia="仿宋_GB2312" w:cs="仿宋_GB2312"/>
          <w:color w:val="auto"/>
          <w:sz w:val="32"/>
          <w:szCs w:val="32"/>
          <w:lang w:eastAsia="zh-CN"/>
        </w:rPr>
        <w:t>县工业区管理委员会</w:t>
      </w:r>
      <w:r>
        <w:rPr>
          <w:rFonts w:hint="eastAsia" w:ascii="仿宋_GB2312" w:hAnsi="仿宋_GB2312" w:eastAsia="仿宋_GB2312" w:cs="仿宋_GB2312"/>
          <w:color w:val="auto"/>
          <w:sz w:val="32"/>
          <w:szCs w:val="32"/>
        </w:rPr>
        <w:t>等参与）</w:t>
      </w:r>
    </w:p>
    <w:p>
      <w:pPr>
        <w:keepNext w:val="0"/>
        <w:keepLines w:val="0"/>
        <w:pageBreakBefore w:val="0"/>
        <w:kinsoku/>
        <w:wordWrap/>
        <w:overflowPunct/>
        <w:topLinePunct w:val="0"/>
        <w:autoSpaceDE/>
        <w:autoSpaceDN/>
        <w:bidi w:val="0"/>
        <w:adjustRightInd/>
        <w:spacing w:line="560" w:lineRule="exact"/>
        <w:ind w:left="0" w:leftChars="0" w:firstLine="643" w:firstLineChars="200"/>
        <w:textAlignment w:val="auto"/>
        <w:rPr>
          <w:rFonts w:hint="eastAsia" w:ascii="仿宋_GB2312" w:hAnsi="仿宋_GB2312" w:eastAsia="仿宋_GB2312" w:cs="仿宋_GB2312"/>
          <w:b/>
          <w:bCs/>
          <w:color w:val="auto"/>
          <w:sz w:val="32"/>
          <w:szCs w:val="32"/>
          <w:lang w:val="en"/>
        </w:rPr>
      </w:pPr>
      <w:r>
        <w:rPr>
          <w:rFonts w:hint="eastAsia" w:ascii="仿宋_GB2312" w:hAnsi="仿宋_GB2312" w:eastAsia="仿宋_GB2312" w:cs="仿宋_GB2312"/>
          <w:b/>
          <w:bCs/>
          <w:color w:val="auto"/>
          <w:sz w:val="32"/>
          <w:szCs w:val="32"/>
        </w:rPr>
        <w:t>2</w:t>
      </w:r>
      <w:r>
        <w:rPr>
          <w:rFonts w:hint="eastAsia" w:ascii="仿宋_GB2312" w:hAnsi="仿宋_GB2312" w:eastAsia="仿宋_GB2312" w:cs="仿宋_GB2312"/>
          <w:b/>
          <w:bCs/>
          <w:color w:val="auto"/>
          <w:sz w:val="32"/>
          <w:szCs w:val="32"/>
          <w:lang w:val="en"/>
        </w:rPr>
        <w:t>.严格涉重金属重点行业排放管理</w:t>
      </w:r>
    </w:p>
    <w:p>
      <w:pPr>
        <w:keepNext w:val="0"/>
        <w:keepLines w:val="0"/>
        <w:pageBreakBefore w:val="0"/>
        <w:kinsoku/>
        <w:wordWrap/>
        <w:overflowPunct/>
        <w:topLinePunct w:val="0"/>
        <w:autoSpaceDE/>
        <w:autoSpaceDN/>
        <w:bidi w:val="0"/>
        <w:adjustRightInd/>
        <w:spacing w:line="560" w:lineRule="exact"/>
        <w:textAlignment w:val="auto"/>
        <w:rPr>
          <w:rFonts w:hint="eastAsia"/>
        </w:rPr>
      </w:pPr>
      <w:r>
        <w:rPr>
          <w:rFonts w:hint="eastAsia" w:ascii="仿宋_GB2312" w:hAnsi="仿宋_GB2312" w:eastAsia="仿宋_GB2312" w:cs="仿宋_GB2312"/>
          <w:bCs/>
          <w:color w:val="auto"/>
          <w:sz w:val="32"/>
          <w:szCs w:val="32"/>
        </w:rPr>
        <w:t>动态更新全口径企业清单，完成以工业固废为原料的锌无机化合物工业企业信息补录。落实全口径重点行业重点重金属污染物排放总量控制要求，</w:t>
      </w:r>
      <w:r>
        <w:rPr>
          <w:rFonts w:hint="eastAsia" w:ascii="仿宋_GB2312" w:hAnsi="仿宋_GB2312" w:eastAsia="仿宋_GB2312" w:cs="仿宋_GB2312"/>
          <w:bCs/>
          <w:color w:val="auto"/>
          <w:sz w:val="32"/>
          <w:szCs w:val="32"/>
          <w:highlight w:val="none"/>
          <w:lang w:eastAsia="zh-CN"/>
        </w:rPr>
        <w:t>严格</w:t>
      </w:r>
      <w:r>
        <w:rPr>
          <w:rFonts w:hint="eastAsia" w:ascii="仿宋_GB2312" w:hAnsi="仿宋_GB2312" w:eastAsia="仿宋_GB2312" w:cs="仿宋_GB2312"/>
          <w:bCs/>
          <w:color w:val="auto"/>
          <w:sz w:val="32"/>
          <w:szCs w:val="32"/>
          <w:highlight w:val="none"/>
        </w:rPr>
        <w:t>执行“等量置换”制度</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严控新增污染项目建设。深入实施重金属减排工程，</w:t>
      </w:r>
      <w:r>
        <w:rPr>
          <w:rFonts w:hint="default" w:ascii="Times New Roman" w:hAnsi="Times New Roman" w:eastAsia="仿宋_GB2312" w:cs="Times New Roman"/>
          <w:color w:val="auto"/>
          <w:sz w:val="32"/>
          <w:szCs w:val="32"/>
          <w:highlight w:val="none"/>
          <w:lang w:val="en-US" w:eastAsia="zh-CN"/>
        </w:rPr>
        <w:t>以结构调整、升级改造和深度治理为主要手段，加快淘汰落后企业产能，</w:t>
      </w:r>
      <w:r>
        <w:rPr>
          <w:rFonts w:hint="eastAsia" w:ascii="仿宋_GB2312" w:hAnsi="仿宋_GB2312" w:eastAsia="仿宋_GB2312" w:cs="仿宋_GB2312"/>
          <w:bCs/>
          <w:color w:val="auto"/>
          <w:sz w:val="32"/>
          <w:szCs w:val="32"/>
        </w:rPr>
        <w:t>引导和支持重有色金属采选、冶炼、涉重金属无机化合物工业等行业企业加快实现清洁生产和绿色化提标改造。完成年度重点重金属污染物排放量控制任务。（</w:t>
      </w:r>
      <w:r>
        <w:rPr>
          <w:rFonts w:hint="eastAsia" w:ascii="仿宋_GB2312" w:hAnsi="仿宋_GB2312" w:eastAsia="仿宋_GB2312" w:cs="仿宋_GB2312"/>
          <w:bCs/>
          <w:color w:val="auto"/>
          <w:sz w:val="32"/>
          <w:szCs w:val="32"/>
          <w:lang w:eastAsia="zh-CN"/>
        </w:rPr>
        <w:t>柳城</w:t>
      </w:r>
      <w:r>
        <w:rPr>
          <w:rFonts w:hint="eastAsia" w:ascii="仿宋_GB2312" w:hAnsi="仿宋_GB2312" w:eastAsia="仿宋_GB2312" w:cs="仿宋_GB2312"/>
          <w:bCs/>
          <w:color w:val="auto"/>
          <w:sz w:val="32"/>
          <w:szCs w:val="32"/>
        </w:rPr>
        <w:t>生态环境局牵头，</w:t>
      </w:r>
      <w:r>
        <w:rPr>
          <w:rFonts w:hint="eastAsia" w:ascii="仿宋_GB2312" w:hAnsi="仿宋_GB2312" w:eastAsia="仿宋_GB2312" w:cs="仿宋_GB2312"/>
          <w:bCs/>
          <w:color w:val="auto"/>
          <w:sz w:val="32"/>
          <w:szCs w:val="32"/>
          <w:lang w:eastAsia="zh-CN"/>
        </w:rPr>
        <w:t>县</w:t>
      </w:r>
      <w:r>
        <w:rPr>
          <w:rFonts w:hint="eastAsia" w:ascii="仿宋_GB2312" w:hAnsi="仿宋_GB2312" w:eastAsia="仿宋_GB2312" w:cs="仿宋_GB2312"/>
          <w:bCs/>
          <w:color w:val="auto"/>
          <w:sz w:val="32"/>
          <w:szCs w:val="32"/>
        </w:rPr>
        <w:t>发展改革委、县工业区管理委员会、</w:t>
      </w:r>
      <w:r>
        <w:rPr>
          <w:rFonts w:hint="eastAsia" w:ascii="仿宋_GB2312" w:hAnsi="仿宋_GB2312" w:cs="仿宋_GB2312"/>
          <w:bCs/>
          <w:color w:val="auto"/>
          <w:sz w:val="32"/>
          <w:szCs w:val="32"/>
          <w:lang w:eastAsia="zh-CN"/>
        </w:rPr>
        <w:t>县</w:t>
      </w:r>
      <w:r>
        <w:rPr>
          <w:rFonts w:hint="eastAsia" w:ascii="仿宋_GB2312" w:hAnsi="仿宋_GB2312" w:eastAsia="仿宋_GB2312" w:cs="仿宋_GB2312"/>
          <w:color w:val="auto"/>
          <w:kern w:val="2"/>
          <w:sz w:val="32"/>
          <w:szCs w:val="32"/>
        </w:rPr>
        <w:t>自然资源和规划局</w:t>
      </w:r>
      <w:r>
        <w:rPr>
          <w:rFonts w:hint="eastAsia" w:ascii="仿宋_GB2312" w:hAnsi="仿宋_GB2312" w:eastAsia="仿宋_GB2312" w:cs="仿宋_GB2312"/>
          <w:bCs/>
          <w:color w:val="auto"/>
          <w:sz w:val="32"/>
          <w:szCs w:val="32"/>
        </w:rPr>
        <w:t>、</w:t>
      </w:r>
      <w:r>
        <w:rPr>
          <w:rFonts w:hint="eastAsia" w:ascii="仿宋_GB2312" w:hAnsi="仿宋_GB2312" w:cs="仿宋_GB2312"/>
          <w:bCs/>
          <w:color w:val="auto"/>
          <w:sz w:val="32"/>
          <w:szCs w:val="32"/>
          <w:lang w:eastAsia="zh-CN"/>
        </w:rPr>
        <w:t>县</w:t>
      </w:r>
      <w:r>
        <w:rPr>
          <w:rFonts w:hint="eastAsia" w:ascii="仿宋_GB2312" w:hAnsi="仿宋_GB2312" w:eastAsia="仿宋_GB2312" w:cs="仿宋_GB2312"/>
          <w:bCs/>
          <w:color w:val="auto"/>
          <w:sz w:val="32"/>
          <w:szCs w:val="32"/>
        </w:rPr>
        <w:t>农业农村局、</w:t>
      </w:r>
      <w:r>
        <w:rPr>
          <w:rFonts w:hint="eastAsia" w:ascii="仿宋_GB2312" w:hAnsi="仿宋_GB2312" w:cs="仿宋_GB2312"/>
          <w:bCs/>
          <w:color w:val="auto"/>
          <w:sz w:val="32"/>
          <w:szCs w:val="32"/>
          <w:lang w:eastAsia="zh-CN"/>
        </w:rPr>
        <w:t>县</w:t>
      </w:r>
      <w:r>
        <w:rPr>
          <w:rFonts w:hint="eastAsia" w:ascii="仿宋_GB2312" w:hAnsi="仿宋_GB2312" w:eastAsia="仿宋_GB2312" w:cs="仿宋_GB2312"/>
          <w:bCs/>
          <w:color w:val="auto"/>
          <w:sz w:val="32"/>
          <w:szCs w:val="32"/>
        </w:rPr>
        <w:t>市场监督管理局</w:t>
      </w:r>
      <w:r>
        <w:rPr>
          <w:rFonts w:hint="eastAsia" w:ascii="仿宋_GB2312" w:hAnsi="仿宋_GB2312" w:cs="仿宋_GB2312"/>
          <w:bCs/>
          <w:color w:val="auto"/>
          <w:sz w:val="32"/>
          <w:szCs w:val="32"/>
          <w:lang w:eastAsia="zh-CN"/>
        </w:rPr>
        <w:t>、县审批局</w:t>
      </w:r>
      <w:r>
        <w:rPr>
          <w:rFonts w:hint="eastAsia" w:ascii="仿宋_GB2312" w:hAnsi="仿宋_GB2312" w:eastAsia="仿宋_GB2312" w:cs="仿宋_GB2312"/>
          <w:bCs/>
          <w:color w:val="auto"/>
          <w:sz w:val="32"/>
          <w:szCs w:val="32"/>
        </w:rPr>
        <w:t>等参与）</w:t>
      </w:r>
    </w:p>
    <w:p>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3.统筹重点排污单位与排污许可管理</w:t>
      </w:r>
    </w:p>
    <w:p>
      <w:pPr>
        <w:keepNext w:val="0"/>
        <w:keepLines w:val="0"/>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对2013年以来已获得国家认定重金属减排的单位，要在其排污许可证上体现减排后的重金属污染物排放总量要求。</w:t>
      </w:r>
      <w:r>
        <w:rPr>
          <w:rFonts w:hint="eastAsia" w:ascii="仿宋_GB2312" w:hAnsi="仿宋_GB2312" w:eastAsia="仿宋_GB2312" w:cs="仿宋_GB2312"/>
          <w:color w:val="auto"/>
          <w:sz w:val="32"/>
          <w:szCs w:val="32"/>
        </w:rPr>
        <w:t>对纳入大气重点排污单位名录的涉镉等重金属排放企业，要按规定有计划地实现大气污染物中的颗粒物在线自动监测，并与生态环境主管部门的污染源自动监控平台联网。（</w:t>
      </w:r>
      <w:r>
        <w:rPr>
          <w:rFonts w:hint="eastAsia" w:ascii="仿宋_GB2312" w:hAnsi="仿宋_GB2312" w:eastAsia="仿宋_GB2312" w:cs="仿宋_GB2312"/>
          <w:color w:val="auto"/>
          <w:sz w:val="32"/>
          <w:szCs w:val="32"/>
          <w:lang w:eastAsia="zh-CN"/>
        </w:rPr>
        <w:t>柳城</w:t>
      </w:r>
      <w:r>
        <w:rPr>
          <w:rFonts w:hint="eastAsia" w:ascii="仿宋_GB2312" w:hAnsi="仿宋_GB2312" w:eastAsia="仿宋_GB2312" w:cs="仿宋_GB2312"/>
          <w:color w:val="auto"/>
          <w:sz w:val="32"/>
          <w:szCs w:val="32"/>
        </w:rPr>
        <w:t>生态环境局牵头，</w:t>
      </w:r>
      <w:r>
        <w:rPr>
          <w:rFonts w:hint="eastAsia" w:ascii="仿宋_GB2312" w:hAnsi="仿宋_GB2312" w:eastAsia="仿宋_GB2312" w:cs="仿宋_GB2312"/>
          <w:color w:val="auto"/>
          <w:sz w:val="32"/>
          <w:szCs w:val="32"/>
          <w:lang w:eastAsia="zh-CN"/>
        </w:rPr>
        <w:t>县工业区管理委员会</w:t>
      </w:r>
      <w:r>
        <w:rPr>
          <w:rFonts w:hint="eastAsia" w:ascii="仿宋_GB2312" w:hAnsi="仿宋_GB2312" w:eastAsia="仿宋_GB2312" w:cs="仿宋_GB2312"/>
          <w:color w:val="auto"/>
          <w:sz w:val="32"/>
          <w:szCs w:val="32"/>
        </w:rPr>
        <w:t>、</w:t>
      </w:r>
      <w:r>
        <w:rPr>
          <w:rFonts w:hint="eastAsia" w:ascii="仿宋_GB2312" w:hAnsi="仿宋_GB2312" w:cs="仿宋_GB2312"/>
          <w:color w:val="auto"/>
          <w:sz w:val="32"/>
          <w:szCs w:val="32"/>
          <w:lang w:eastAsia="zh-CN"/>
        </w:rPr>
        <w:t>县</w:t>
      </w:r>
      <w:r>
        <w:rPr>
          <w:rFonts w:hint="eastAsia" w:ascii="仿宋_GB2312" w:hAnsi="仿宋_GB2312" w:eastAsia="仿宋_GB2312" w:cs="仿宋_GB2312"/>
          <w:color w:val="auto"/>
          <w:sz w:val="32"/>
          <w:szCs w:val="32"/>
        </w:rPr>
        <w:t>住房和城乡建设局等参与）</w:t>
      </w:r>
    </w:p>
    <w:p>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4.加快推进涉铊排放企业规范管理</w:t>
      </w:r>
    </w:p>
    <w:p>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以</w:t>
      </w:r>
      <w:bookmarkStart w:id="4" w:name="_GoBack"/>
      <w:bookmarkEnd w:id="4"/>
      <w:r>
        <w:rPr>
          <w:rFonts w:hint="eastAsia" w:ascii="仿宋_GB2312" w:hAnsi="仿宋_GB2312" w:eastAsia="仿宋_GB2312" w:cs="仿宋_GB2312"/>
          <w:color w:val="auto"/>
          <w:sz w:val="32"/>
          <w:szCs w:val="32"/>
        </w:rPr>
        <w:t>有色金属冶炼、钢铁、硫酸制造和磷肥制造、以及含铊灰渣利用等工业行业为重点，全面排查涉铊企业，建立涉铊企业污染风险问题台账以及相应整改方案，并督促落实整改。开展涉铊企业废水治理设施除铊升级改造，严格执行车间或生产设施废水排放口达标要求。严格涉铊项目环境准入，规范使用高铊含量原料，督促涉铊企业对矿石原料、主副产品和生产废物，尤其是高铊含量进口矿石中的铊成分进行检测分析，实现铊元素可核算可追踪，降低排入外环境的风险。（</w:t>
      </w:r>
      <w:r>
        <w:rPr>
          <w:rFonts w:hint="eastAsia" w:ascii="仿宋_GB2312" w:hAnsi="仿宋_GB2312" w:eastAsia="仿宋_GB2312" w:cs="仿宋_GB2312"/>
          <w:color w:val="auto"/>
          <w:sz w:val="32"/>
          <w:szCs w:val="32"/>
          <w:lang w:eastAsia="zh-CN"/>
        </w:rPr>
        <w:t>柳城</w:t>
      </w:r>
      <w:r>
        <w:rPr>
          <w:rFonts w:hint="eastAsia" w:ascii="仿宋_GB2312" w:hAnsi="仿宋_GB2312" w:eastAsia="仿宋_GB2312" w:cs="仿宋_GB2312"/>
          <w:color w:val="auto"/>
          <w:sz w:val="32"/>
          <w:szCs w:val="32"/>
        </w:rPr>
        <w:t>生态环境局牵头，</w:t>
      </w:r>
      <w:r>
        <w:rPr>
          <w:rFonts w:hint="eastAsia" w:ascii="仿宋_GB2312" w:hAnsi="仿宋_GB2312" w:eastAsia="仿宋_GB2312" w:cs="仿宋_GB2312"/>
          <w:bCs/>
          <w:color w:val="auto"/>
          <w:sz w:val="32"/>
          <w:szCs w:val="32"/>
          <w:lang w:eastAsia="zh-CN"/>
        </w:rPr>
        <w:t>县</w:t>
      </w:r>
      <w:r>
        <w:rPr>
          <w:rFonts w:hint="eastAsia" w:ascii="仿宋_GB2312" w:hAnsi="仿宋_GB2312" w:eastAsia="仿宋_GB2312" w:cs="仿宋_GB2312"/>
          <w:bCs/>
          <w:color w:val="auto"/>
          <w:sz w:val="32"/>
          <w:szCs w:val="32"/>
        </w:rPr>
        <w:t>发展改革委、县工业区管理委员会</w:t>
      </w:r>
      <w:r>
        <w:rPr>
          <w:rFonts w:hint="eastAsia" w:ascii="仿宋_GB2312" w:hAnsi="仿宋_GB2312" w:eastAsia="仿宋_GB2312" w:cs="仿宋_GB2312"/>
          <w:color w:val="auto"/>
          <w:sz w:val="32"/>
          <w:szCs w:val="32"/>
        </w:rPr>
        <w:t>、</w:t>
      </w:r>
      <w:r>
        <w:rPr>
          <w:rFonts w:hint="eastAsia" w:ascii="仿宋_GB2312" w:hAnsi="仿宋_GB2312" w:cs="仿宋_GB2312"/>
          <w:color w:val="auto"/>
          <w:sz w:val="32"/>
          <w:szCs w:val="32"/>
          <w:lang w:eastAsia="zh-CN"/>
        </w:rPr>
        <w:t>县</w:t>
      </w:r>
      <w:r>
        <w:rPr>
          <w:rFonts w:hint="eastAsia" w:ascii="仿宋_GB2312" w:hAnsi="仿宋_GB2312" w:eastAsia="仿宋_GB2312" w:cs="仿宋_GB2312"/>
          <w:bCs/>
          <w:color w:val="auto"/>
          <w:sz w:val="32"/>
          <w:szCs w:val="32"/>
        </w:rPr>
        <w:t>市场监督管理局等参与</w:t>
      </w:r>
      <w:r>
        <w:rPr>
          <w:rFonts w:hint="eastAsia" w:ascii="仿宋_GB2312" w:hAnsi="仿宋_GB2312" w:eastAsia="仿宋_GB2312" w:cs="仿宋_GB2312"/>
          <w:color w:val="auto"/>
          <w:sz w:val="32"/>
          <w:szCs w:val="32"/>
        </w:rPr>
        <w:t>）</w:t>
      </w:r>
    </w:p>
    <w:p>
      <w:pPr>
        <w:keepNext w:val="0"/>
        <w:keepLines w:val="0"/>
        <w:pageBreakBefore w:val="0"/>
        <w:kinsoku/>
        <w:wordWrap/>
        <w:overflowPunct/>
        <w:topLinePunct w:val="0"/>
        <w:autoSpaceDE/>
        <w:autoSpaceDN/>
        <w:bidi w:val="0"/>
        <w:adjustRightInd/>
        <w:spacing w:line="560" w:lineRule="exact"/>
        <w:textAlignment w:val="auto"/>
        <w:outlineLvl w:val="1"/>
        <w:rPr>
          <w:rFonts w:hint="eastAsia" w:ascii="楷体_GB2312" w:hAnsi="楷体_GB2312" w:eastAsia="楷体_GB2312" w:cs="楷体_GB2312"/>
          <w:b/>
          <w:bCs w:val="0"/>
          <w:color w:val="auto"/>
          <w:sz w:val="32"/>
          <w:szCs w:val="32"/>
        </w:rPr>
      </w:pPr>
      <w:r>
        <w:rPr>
          <w:rFonts w:hint="eastAsia" w:ascii="楷体_GB2312" w:hAnsi="楷体_GB2312" w:eastAsia="楷体_GB2312" w:cs="楷体_GB2312"/>
          <w:b/>
          <w:bCs w:val="0"/>
          <w:color w:val="auto"/>
          <w:sz w:val="32"/>
          <w:szCs w:val="32"/>
        </w:rPr>
        <w:t>（三）深入实施</w:t>
      </w:r>
      <w:r>
        <w:rPr>
          <w:rFonts w:hint="eastAsia" w:ascii="楷体_GB2312" w:hAnsi="楷体_GB2312" w:eastAsia="楷体_GB2312" w:cs="楷体_GB2312"/>
          <w:b/>
          <w:bCs w:val="0"/>
          <w:color w:val="auto"/>
          <w:sz w:val="32"/>
          <w:szCs w:val="32"/>
          <w:lang w:eastAsia="zh-CN"/>
        </w:rPr>
        <w:t>农用地</w:t>
      </w:r>
      <w:r>
        <w:rPr>
          <w:rFonts w:hint="eastAsia" w:ascii="楷体_GB2312" w:hAnsi="楷体_GB2312" w:eastAsia="楷体_GB2312" w:cs="楷体_GB2312"/>
          <w:b/>
          <w:bCs w:val="0"/>
          <w:color w:val="auto"/>
          <w:sz w:val="32"/>
          <w:szCs w:val="32"/>
        </w:rPr>
        <w:t>分类管理</w:t>
      </w:r>
    </w:p>
    <w:p>
      <w:pPr>
        <w:keepNext w:val="0"/>
        <w:keepLines w:val="0"/>
        <w:pageBreakBefore w:val="0"/>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lang w:val="en-US" w:eastAsia="zh-CN"/>
        </w:rPr>
        <w:t>1.</w:t>
      </w:r>
      <w:r>
        <w:rPr>
          <w:rFonts w:hint="default" w:ascii="Times New Roman" w:hAnsi="Times New Roman" w:eastAsia="仿宋_GB2312" w:cs="Times New Roman"/>
          <w:b/>
          <w:bCs/>
          <w:color w:val="auto"/>
          <w:sz w:val="32"/>
          <w:szCs w:val="32"/>
          <w:highlight w:val="none"/>
        </w:rPr>
        <w:t>强化农用地安全利用和风险管控</w:t>
      </w:r>
    </w:p>
    <w:p>
      <w:pPr>
        <w:keepNext w:val="0"/>
        <w:keepLines w:val="0"/>
        <w:pageBreakBefore w:val="0"/>
        <w:tabs>
          <w:tab w:val="center" w:pos="4153"/>
          <w:tab w:val="right" w:pos="8306"/>
        </w:tabs>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32"/>
          <w:szCs w:val="32"/>
        </w:rPr>
      </w:pPr>
      <w:r>
        <w:rPr>
          <w:rFonts w:hint="default" w:ascii="Times New Roman" w:hAnsi="Times New Roman" w:eastAsia="仿宋_GB2312" w:cs="Times New Roman"/>
          <w:color w:val="auto"/>
          <w:sz w:val="32"/>
          <w:szCs w:val="32"/>
          <w:highlight w:val="none"/>
          <w:lang w:val="en-US" w:eastAsia="zh-CN"/>
        </w:rPr>
        <w:t>制定农用地安全利用年度工作计划，明确行政区域内安全利用类耕地和严格管控类耕地的具体管控措施，确保农用地安全利用率达到国家考核要求。严格落实《关于加强广西严格管控类耕地用途管控工作的指导意见》，对严格管控类耕地实施“前、中、后”闭环管理，原则上全部落实风险管控措施；依法推进严格管控类耕地特定农产品严格管控区域划定，确保农产品质量安全。加强严格管控类耕地粮食质量安全监控，抓好粮食收储和流通环节监管，杜绝重金属超标粮食进入市场。</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农业农村局牵头，</w:t>
      </w:r>
      <w:r>
        <w:rPr>
          <w:rFonts w:hint="eastAsia" w:ascii="仿宋_GB2312" w:hAnsi="仿宋_GB2312" w:eastAsia="仿宋_GB2312" w:cs="仿宋_GB2312"/>
          <w:color w:val="auto"/>
          <w:sz w:val="32"/>
          <w:szCs w:val="32"/>
          <w:lang w:eastAsia="zh-CN"/>
        </w:rPr>
        <w:t>柳城</w:t>
      </w:r>
      <w:r>
        <w:rPr>
          <w:rFonts w:hint="eastAsia" w:ascii="仿宋_GB2312" w:hAnsi="仿宋_GB2312" w:eastAsia="仿宋_GB2312" w:cs="仿宋_GB2312"/>
          <w:color w:val="auto"/>
          <w:sz w:val="32"/>
          <w:szCs w:val="32"/>
        </w:rPr>
        <w:t>生态环境局、</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自然资源和规划局、</w:t>
      </w:r>
      <w:r>
        <w:rPr>
          <w:rFonts w:hint="eastAsia" w:ascii="仿宋_GB2312" w:hAnsi="仿宋_GB2312" w:eastAsia="仿宋_GB2312" w:cs="仿宋_GB2312"/>
          <w:color w:val="auto"/>
          <w:sz w:val="32"/>
          <w:szCs w:val="32"/>
          <w:lang w:eastAsia="zh-CN"/>
        </w:rPr>
        <w:t>县发展和改革局（</w:t>
      </w:r>
      <w:r>
        <w:rPr>
          <w:rFonts w:hint="eastAsia" w:ascii="仿宋_GB2312" w:hAnsi="仿宋_GB2312" w:eastAsia="仿宋_GB2312" w:cs="仿宋_GB2312"/>
          <w:color w:val="auto"/>
          <w:sz w:val="32"/>
          <w:szCs w:val="32"/>
        </w:rPr>
        <w:t>粮食和物资储备局</w:t>
      </w:r>
      <w:r>
        <w:rPr>
          <w:rFonts w:hint="eastAsia" w:ascii="仿宋_GB2312" w:hAnsi="仿宋_GB2312" w:eastAsia="仿宋_GB2312" w:cs="仿宋_GB2312"/>
          <w:color w:val="auto"/>
          <w:sz w:val="32"/>
          <w:szCs w:val="32"/>
          <w:lang w:eastAsia="zh-CN"/>
        </w:rPr>
        <w:t>）、</w:t>
      </w:r>
      <w:r>
        <w:rPr>
          <w:rFonts w:hint="eastAsia" w:ascii="仿宋_GB2312" w:hAnsi="仿宋_GB2312" w:cs="仿宋_GB2312"/>
          <w:color w:val="auto"/>
          <w:sz w:val="32"/>
          <w:szCs w:val="32"/>
          <w:lang w:eastAsia="zh-CN"/>
        </w:rPr>
        <w:t>县</w:t>
      </w:r>
      <w:r>
        <w:rPr>
          <w:rFonts w:hint="eastAsia" w:ascii="仿宋_GB2312" w:hAnsi="仿宋_GB2312" w:eastAsia="仿宋_GB2312" w:cs="仿宋_GB2312"/>
          <w:bCs/>
          <w:color w:val="auto"/>
          <w:sz w:val="32"/>
          <w:szCs w:val="32"/>
        </w:rPr>
        <w:t>市场监督管理局</w:t>
      </w:r>
      <w:r>
        <w:rPr>
          <w:rFonts w:hint="eastAsia" w:ascii="仿宋_GB2312" w:hAnsi="仿宋_GB2312" w:cs="仿宋_GB2312"/>
          <w:bCs/>
          <w:color w:val="auto"/>
          <w:sz w:val="32"/>
          <w:szCs w:val="32"/>
          <w:lang w:eastAsia="zh-CN"/>
        </w:rPr>
        <w:t>、</w:t>
      </w:r>
      <w:r>
        <w:rPr>
          <w:rFonts w:hint="eastAsia" w:ascii="仿宋_GB2312" w:hAnsi="仿宋_GB2312" w:eastAsia="仿宋_GB2312" w:cs="仿宋_GB2312"/>
          <w:color w:val="auto"/>
          <w:sz w:val="32"/>
          <w:szCs w:val="32"/>
          <w:lang w:eastAsia="zh-CN"/>
        </w:rPr>
        <w:t>各乡（镇）人民政府、华侨管理区</w:t>
      </w:r>
      <w:r>
        <w:rPr>
          <w:rFonts w:hint="eastAsia" w:ascii="仿宋_GB2312" w:hAnsi="仿宋_GB2312" w:eastAsia="仿宋_GB2312" w:cs="仿宋_GB2312"/>
          <w:color w:val="auto"/>
          <w:sz w:val="32"/>
          <w:szCs w:val="32"/>
        </w:rPr>
        <w:t>等参与）</w:t>
      </w:r>
    </w:p>
    <w:p>
      <w:pPr>
        <w:keepNext w:val="0"/>
        <w:keepLines w:val="0"/>
        <w:pageBreakBefore w:val="0"/>
        <w:tabs>
          <w:tab w:val="center" w:pos="4153"/>
          <w:tab w:val="right" w:pos="8306"/>
        </w:tabs>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lang w:val="en-US" w:eastAsia="zh-CN"/>
        </w:rPr>
        <w:t>2.</w:t>
      </w:r>
      <w:r>
        <w:rPr>
          <w:rFonts w:hint="default" w:ascii="Times New Roman" w:hAnsi="Times New Roman" w:eastAsia="仿宋_GB2312" w:cs="Times New Roman"/>
          <w:b/>
          <w:bCs/>
          <w:color w:val="auto"/>
          <w:sz w:val="32"/>
          <w:szCs w:val="32"/>
          <w:highlight w:val="none"/>
        </w:rPr>
        <w:t>加快推动耕地土壤环境质量类别动态调整</w:t>
      </w:r>
    </w:p>
    <w:p>
      <w:pPr>
        <w:keepNext w:val="0"/>
        <w:keepLines w:val="0"/>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32"/>
          <w:szCs w:val="32"/>
        </w:rPr>
      </w:pPr>
      <w:r>
        <w:rPr>
          <w:rFonts w:hint="default" w:ascii="Times New Roman" w:hAnsi="Times New Roman" w:eastAsia="仿宋_GB2312" w:cs="Times New Roman"/>
          <w:color w:val="auto"/>
          <w:sz w:val="32"/>
          <w:szCs w:val="32"/>
          <w:highlight w:val="none"/>
          <w:lang w:val="en-US" w:eastAsia="zh-CN"/>
        </w:rPr>
        <w:t>在国土空间规划“一张图”基础上，结合近年来已掌握的可食用农产品检测结果及相关监测数据，实施耕地土壤环境质量类别动态调整；对严格管控类耕地面积较大的区域和土壤污染状况详查成果数据中土壤样品检测数据较少的区域，进行土壤加密采样调查与监测，进一步精确严格管控类耕地分布区域及面积，推进耕地分类管理。</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农业农村局牵头</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自然资源和规划局、</w:t>
      </w:r>
      <w:r>
        <w:rPr>
          <w:rFonts w:hint="eastAsia" w:ascii="仿宋_GB2312" w:hAnsi="仿宋_GB2312" w:eastAsia="仿宋_GB2312" w:cs="仿宋_GB2312"/>
          <w:color w:val="auto"/>
          <w:sz w:val="32"/>
          <w:szCs w:val="32"/>
          <w:lang w:eastAsia="zh-CN"/>
        </w:rPr>
        <w:t>县发展和改革局（</w:t>
      </w:r>
      <w:r>
        <w:rPr>
          <w:rFonts w:hint="eastAsia" w:ascii="仿宋_GB2312" w:hAnsi="仿宋_GB2312" w:eastAsia="仿宋_GB2312" w:cs="仿宋_GB2312"/>
          <w:color w:val="auto"/>
          <w:sz w:val="32"/>
          <w:szCs w:val="32"/>
        </w:rPr>
        <w:t>粮食和物资储备局</w:t>
      </w:r>
      <w:r>
        <w:rPr>
          <w:rFonts w:hint="eastAsia" w:ascii="仿宋_GB2312" w:hAnsi="仿宋_GB2312" w:eastAsia="仿宋_GB2312" w:cs="仿宋_GB2312"/>
          <w:color w:val="auto"/>
          <w:sz w:val="32"/>
          <w:szCs w:val="32"/>
          <w:lang w:eastAsia="zh-CN"/>
        </w:rPr>
        <w:t>）</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lang w:eastAsia="zh-CN"/>
        </w:rPr>
        <w:t>柳城</w:t>
      </w:r>
      <w:r>
        <w:rPr>
          <w:rFonts w:hint="eastAsia" w:ascii="仿宋_GB2312" w:hAnsi="仿宋_GB2312" w:eastAsia="仿宋_GB2312" w:cs="仿宋_GB2312"/>
          <w:color w:val="auto"/>
          <w:sz w:val="32"/>
          <w:szCs w:val="32"/>
        </w:rPr>
        <w:t>生态环境局、</w:t>
      </w:r>
      <w:r>
        <w:rPr>
          <w:rFonts w:hint="eastAsia" w:ascii="仿宋_GB2312" w:hAnsi="仿宋_GB2312" w:eastAsia="仿宋_GB2312" w:cs="仿宋_GB2312"/>
          <w:color w:val="auto"/>
          <w:sz w:val="32"/>
          <w:szCs w:val="32"/>
          <w:lang w:eastAsia="zh-CN"/>
        </w:rPr>
        <w:t>各乡（镇）人民政府、华侨管理区</w:t>
      </w:r>
      <w:r>
        <w:rPr>
          <w:rFonts w:hint="eastAsia" w:ascii="仿宋_GB2312" w:hAnsi="仿宋_GB2312" w:eastAsia="仿宋_GB2312" w:cs="仿宋_GB2312"/>
          <w:color w:val="auto"/>
          <w:sz w:val="32"/>
          <w:szCs w:val="32"/>
        </w:rPr>
        <w:t>等参与）</w:t>
      </w:r>
    </w:p>
    <w:p>
      <w:pPr>
        <w:keepNext w:val="0"/>
        <w:keepLines w:val="0"/>
        <w:pageBreakBefore w:val="0"/>
        <w:kinsoku/>
        <w:wordWrap/>
        <w:overflowPunct/>
        <w:topLinePunct w:val="0"/>
        <w:autoSpaceDE/>
        <w:autoSpaceDN/>
        <w:bidi w:val="0"/>
        <w:adjustRightInd/>
        <w:spacing w:line="560" w:lineRule="exact"/>
        <w:textAlignment w:val="auto"/>
        <w:outlineLvl w:val="1"/>
        <w:rPr>
          <w:rFonts w:hint="eastAsia" w:ascii="楷体_GB2312" w:hAnsi="楷体_GB2312" w:eastAsia="楷体_GB2312" w:cs="楷体_GB2312"/>
          <w:b/>
          <w:bCs w:val="0"/>
          <w:color w:val="auto"/>
          <w:sz w:val="32"/>
          <w:szCs w:val="32"/>
        </w:rPr>
      </w:pPr>
      <w:r>
        <w:rPr>
          <w:rFonts w:hint="eastAsia" w:ascii="楷体_GB2312" w:hAnsi="楷体_GB2312" w:eastAsia="楷体_GB2312" w:cs="楷体_GB2312"/>
          <w:b/>
          <w:bCs w:val="0"/>
          <w:color w:val="auto"/>
          <w:sz w:val="32"/>
          <w:szCs w:val="32"/>
        </w:rPr>
        <w:t>（四）有效管控建设用地土壤污染风险</w:t>
      </w:r>
    </w:p>
    <w:p>
      <w:pPr>
        <w:keepNext w:val="0"/>
        <w:keepLines w:val="0"/>
        <w:pageBreakBefore w:val="0"/>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lang w:val="en-US" w:eastAsia="zh-CN"/>
        </w:rPr>
        <w:t>1.</w:t>
      </w:r>
      <w:r>
        <w:rPr>
          <w:rFonts w:hint="default" w:ascii="Times New Roman" w:hAnsi="Times New Roman" w:eastAsia="仿宋_GB2312" w:cs="Times New Roman"/>
          <w:b/>
          <w:bCs/>
          <w:color w:val="auto"/>
          <w:sz w:val="32"/>
          <w:szCs w:val="32"/>
          <w:highlight w:val="none"/>
        </w:rPr>
        <w:t>开展土壤污染状况调查评估</w:t>
      </w:r>
    </w:p>
    <w:p>
      <w:pPr>
        <w:keepNext w:val="0"/>
        <w:keepLines w:val="0"/>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32"/>
          <w:szCs w:val="32"/>
          <w:highlight w:val="yellow"/>
        </w:rPr>
      </w:pPr>
      <w:r>
        <w:rPr>
          <w:rFonts w:hint="default" w:ascii="Times New Roman" w:hAnsi="Times New Roman" w:eastAsia="仿宋_GB2312" w:cs="Times New Roman"/>
          <w:color w:val="auto"/>
          <w:sz w:val="32"/>
          <w:szCs w:val="32"/>
          <w:highlight w:val="none"/>
          <w:lang w:val="en-US" w:eastAsia="zh-CN"/>
        </w:rPr>
        <w:t>以用途变更为“一住两公”的地块为重点，督促依法开展土壤污染状况调查和风险评估。持续开展关闭搬迁企业地块摸排，建立并动态更新优先监管地块清单；针对清单内地块，按要求开展重点监测、环境监测，推进土壤污染状况调查和风险评估。督促土壤污染重点监管单位在其生产经营用地用途变更或者其土地使用权收回、转让前，依法开展土壤污染状况调查</w:t>
      </w:r>
      <w:r>
        <w:rPr>
          <w:rFonts w:hint="eastAsia" w:ascii="Times New Roman" w:hAnsi="Times New Roman" w:eastAsia="仿宋_GB2312" w:cs="Times New Roman"/>
          <w:color w:val="auto"/>
          <w:sz w:val="32"/>
          <w:szCs w:val="32"/>
          <w:highlight w:val="none"/>
          <w:lang w:val="en-US" w:eastAsia="zh-CN"/>
        </w:rPr>
        <w:t>并将</w:t>
      </w:r>
      <w:r>
        <w:rPr>
          <w:rFonts w:hint="default" w:ascii="Times New Roman" w:hAnsi="Times New Roman" w:eastAsia="仿宋_GB2312" w:cs="Times New Roman"/>
          <w:color w:val="auto"/>
          <w:sz w:val="32"/>
          <w:szCs w:val="32"/>
          <w:highlight w:val="none"/>
          <w:lang w:val="en-US" w:eastAsia="zh-CN"/>
        </w:rPr>
        <w:t>调查报告纳入不动产登记管理。</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柳城</w:t>
      </w:r>
      <w:r>
        <w:rPr>
          <w:rFonts w:hint="eastAsia" w:ascii="仿宋_GB2312" w:hAnsi="仿宋_GB2312" w:eastAsia="仿宋_GB2312" w:cs="仿宋_GB2312"/>
          <w:color w:val="auto"/>
          <w:sz w:val="32"/>
          <w:szCs w:val="32"/>
        </w:rPr>
        <w:t>生态环境局、</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自然资源和规划局按职责分工负责）</w:t>
      </w:r>
    </w:p>
    <w:p>
      <w:pPr>
        <w:keepNext w:val="0"/>
        <w:keepLines w:val="0"/>
        <w:pageBreakBefore w:val="0"/>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lang w:val="en-US" w:eastAsia="zh-CN"/>
        </w:rPr>
        <w:t>2.</w:t>
      </w:r>
      <w:r>
        <w:rPr>
          <w:rFonts w:hint="default" w:ascii="Times New Roman" w:hAnsi="Times New Roman" w:eastAsia="仿宋_GB2312" w:cs="Times New Roman"/>
          <w:b/>
          <w:bCs/>
          <w:color w:val="auto"/>
          <w:sz w:val="32"/>
          <w:szCs w:val="32"/>
          <w:highlight w:val="none"/>
        </w:rPr>
        <w:t>严格建设用地准入管理</w:t>
      </w:r>
    </w:p>
    <w:p>
      <w:pPr>
        <w:keepNext w:val="0"/>
        <w:keepLines w:val="0"/>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32"/>
          <w:szCs w:val="32"/>
        </w:rPr>
      </w:pPr>
      <w:r>
        <w:rPr>
          <w:rFonts w:hint="default" w:ascii="Times New Roman" w:hAnsi="Times New Roman" w:eastAsia="仿宋_GB2312" w:cs="Times New Roman"/>
          <w:color w:val="auto"/>
          <w:sz w:val="32"/>
          <w:szCs w:val="32"/>
          <w:highlight w:val="none"/>
          <w:lang w:val="en-US" w:eastAsia="zh-CN"/>
        </w:rPr>
        <w:t>合理规划污染地块用途，从严管控化工等行业中的重度污染地块规划用途，确需开发利用的，鼓励用于拓展生态空间。严格建设用地土壤污染风险管控和修复名录内地块管理，</w:t>
      </w:r>
      <w:r>
        <w:rPr>
          <w:rFonts w:hint="eastAsia" w:ascii="Times New Roman" w:hAnsi="Times New Roman" w:eastAsia="仿宋_GB2312" w:cs="Times New Roman"/>
          <w:color w:val="auto"/>
          <w:sz w:val="32"/>
          <w:szCs w:val="32"/>
          <w:highlight w:val="none"/>
          <w:lang w:val="en-US" w:eastAsia="zh-CN"/>
        </w:rPr>
        <w:t>督促</w:t>
      </w:r>
      <w:r>
        <w:rPr>
          <w:rFonts w:hint="default" w:ascii="Times New Roman" w:hAnsi="Times New Roman" w:eastAsia="仿宋_GB2312" w:cs="Times New Roman"/>
          <w:color w:val="auto"/>
          <w:sz w:val="32"/>
          <w:szCs w:val="32"/>
          <w:highlight w:val="none"/>
          <w:lang w:val="en-US" w:eastAsia="zh-CN"/>
        </w:rPr>
        <w:t>纳入名录的地块</w:t>
      </w:r>
      <w:r>
        <w:rPr>
          <w:rFonts w:hint="eastAsia" w:ascii="Times New Roman" w:hAnsi="Times New Roman" w:eastAsia="仿宋_GB2312" w:cs="Times New Roman"/>
          <w:color w:val="auto"/>
          <w:sz w:val="32"/>
          <w:szCs w:val="32"/>
          <w:highlight w:val="none"/>
          <w:lang w:val="en-US" w:eastAsia="zh-CN"/>
        </w:rPr>
        <w:t>责任单位依据《中华人民共和国土壤污染防治法》在开发建设项目动工前完成</w:t>
      </w:r>
      <w:r>
        <w:rPr>
          <w:rFonts w:hint="default" w:ascii="Times New Roman" w:hAnsi="Times New Roman" w:eastAsia="仿宋_GB2312" w:cs="Times New Roman"/>
          <w:color w:val="auto"/>
          <w:sz w:val="32"/>
          <w:szCs w:val="32"/>
          <w:highlight w:val="none"/>
          <w:lang w:val="en-US" w:eastAsia="zh-CN"/>
        </w:rPr>
        <w:t>土壤污染风险管控和修复</w:t>
      </w:r>
      <w:r>
        <w:rPr>
          <w:rFonts w:hint="eastAsia" w:ascii="Times New Roman" w:hAnsi="Times New Roman" w:eastAsia="仿宋_GB2312" w:cs="Times New Roman"/>
          <w:color w:val="auto"/>
          <w:sz w:val="32"/>
          <w:szCs w:val="32"/>
          <w:highlight w:val="none"/>
          <w:lang w:val="en-US" w:eastAsia="zh-CN"/>
        </w:rPr>
        <w:t>工程及效果评估工作，避免违规开发建设情况发生。</w:t>
      </w:r>
      <w:r>
        <w:rPr>
          <w:rFonts w:hint="default" w:ascii="Times New Roman" w:hAnsi="Times New Roman" w:eastAsia="仿宋_GB2312" w:cs="Times New Roman"/>
          <w:color w:val="auto"/>
          <w:sz w:val="32"/>
          <w:szCs w:val="32"/>
          <w:highlight w:val="none"/>
          <w:lang w:val="en-US" w:eastAsia="zh-CN"/>
        </w:rPr>
        <w:t>加强土地供应等环节监管，</w:t>
      </w:r>
      <w:r>
        <w:rPr>
          <w:rFonts w:hint="eastAsia" w:ascii="Times New Roman" w:hAnsi="Times New Roman" w:eastAsia="仿宋_GB2312" w:cs="Times New Roman"/>
          <w:color w:val="auto"/>
          <w:sz w:val="32"/>
          <w:szCs w:val="32"/>
          <w:highlight w:val="none"/>
          <w:lang w:val="en-US" w:eastAsia="zh-CN"/>
        </w:rPr>
        <w:t>督促</w:t>
      </w:r>
      <w:r>
        <w:rPr>
          <w:rFonts w:hint="default" w:ascii="Times New Roman" w:hAnsi="Times New Roman" w:eastAsia="仿宋_GB2312" w:cs="Times New Roman"/>
          <w:color w:val="auto"/>
          <w:sz w:val="32"/>
          <w:szCs w:val="32"/>
          <w:highlight w:val="none"/>
          <w:lang w:val="en-US" w:eastAsia="zh-CN"/>
        </w:rPr>
        <w:t>重点建设用地</w:t>
      </w:r>
      <w:r>
        <w:rPr>
          <w:rFonts w:hint="eastAsia" w:ascii="Times New Roman" w:hAnsi="Times New Roman" w:eastAsia="仿宋_GB2312" w:cs="Times New Roman"/>
          <w:color w:val="auto"/>
          <w:sz w:val="32"/>
          <w:szCs w:val="32"/>
          <w:highlight w:val="none"/>
          <w:lang w:val="en-US" w:eastAsia="zh-CN"/>
        </w:rPr>
        <w:t>的责任单位在地块</w:t>
      </w:r>
      <w:r>
        <w:rPr>
          <w:rFonts w:hint="default" w:ascii="Times New Roman" w:hAnsi="Times New Roman" w:eastAsia="仿宋_GB2312" w:cs="Times New Roman"/>
          <w:color w:val="auto"/>
          <w:sz w:val="32"/>
          <w:szCs w:val="32"/>
          <w:highlight w:val="none"/>
          <w:lang w:val="en-US" w:eastAsia="zh-CN"/>
        </w:rPr>
        <w:t>出让</w:t>
      </w:r>
      <w:r>
        <w:rPr>
          <w:rFonts w:hint="eastAsia" w:ascii="Times New Roman" w:hAnsi="Times New Roman" w:eastAsia="仿宋_GB2312" w:cs="Times New Roman"/>
          <w:color w:val="auto"/>
          <w:sz w:val="32"/>
          <w:szCs w:val="32"/>
          <w:highlight w:val="none"/>
          <w:lang w:val="en-US" w:eastAsia="zh-CN"/>
        </w:rPr>
        <w:t>和</w:t>
      </w:r>
      <w:r>
        <w:rPr>
          <w:rFonts w:hint="default" w:ascii="Times New Roman" w:hAnsi="Times New Roman" w:eastAsia="仿宋_GB2312" w:cs="Times New Roman"/>
          <w:color w:val="auto"/>
          <w:sz w:val="32"/>
          <w:szCs w:val="32"/>
          <w:highlight w:val="none"/>
          <w:lang w:val="en-US" w:eastAsia="zh-CN"/>
        </w:rPr>
        <w:t>划拨</w:t>
      </w:r>
      <w:r>
        <w:rPr>
          <w:rFonts w:hint="eastAsia" w:ascii="Times New Roman" w:hAnsi="Times New Roman" w:eastAsia="仿宋_GB2312" w:cs="Times New Roman"/>
          <w:color w:val="auto"/>
          <w:sz w:val="32"/>
          <w:szCs w:val="32"/>
          <w:highlight w:val="none"/>
          <w:lang w:val="en-US" w:eastAsia="zh-CN"/>
        </w:rPr>
        <w:t>前</w:t>
      </w:r>
      <w:r>
        <w:rPr>
          <w:rFonts w:hint="default" w:ascii="Times New Roman" w:hAnsi="Times New Roman" w:eastAsia="仿宋_GB2312" w:cs="Times New Roman"/>
          <w:color w:val="auto"/>
          <w:sz w:val="32"/>
          <w:szCs w:val="32"/>
          <w:highlight w:val="none"/>
          <w:lang w:val="en-US" w:eastAsia="zh-CN"/>
        </w:rPr>
        <w:t>落实土壤污染风险管控和修复相关措施（包括土壤污染状况调查和土壤污染风险评估、风险管控、修复、风险管控效果评估、修复效果评估、后期管理等）。鼓励因地制宜制定和完善建设用地土壤污染联动监管具体办法或措施，细化准入管理要求。</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柳城</w:t>
      </w:r>
      <w:r>
        <w:rPr>
          <w:rFonts w:hint="eastAsia" w:ascii="仿宋_GB2312" w:hAnsi="仿宋_GB2312" w:eastAsia="仿宋_GB2312" w:cs="仿宋_GB2312"/>
          <w:color w:val="auto"/>
          <w:sz w:val="32"/>
          <w:szCs w:val="32"/>
        </w:rPr>
        <w:t>生态环境局、</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自然资源和规划局、</w:t>
      </w:r>
      <w:r>
        <w:rPr>
          <w:rFonts w:hint="eastAsia" w:ascii="仿宋_GB2312" w:hAnsi="仿宋_GB2312" w:cs="仿宋_GB2312"/>
          <w:color w:val="auto"/>
          <w:sz w:val="32"/>
          <w:szCs w:val="32"/>
          <w:lang w:eastAsia="zh-CN"/>
        </w:rPr>
        <w:t>县</w:t>
      </w:r>
      <w:r>
        <w:rPr>
          <w:rFonts w:hint="eastAsia" w:ascii="仿宋_GB2312" w:hAnsi="仿宋_GB2312" w:eastAsia="仿宋_GB2312" w:cs="仿宋_GB2312"/>
          <w:color w:val="auto"/>
          <w:sz w:val="32"/>
          <w:szCs w:val="32"/>
        </w:rPr>
        <w:t>住房和城乡建设局、</w:t>
      </w:r>
      <w:r>
        <w:rPr>
          <w:rFonts w:hint="eastAsia" w:ascii="仿宋_GB2312" w:hAnsi="仿宋_GB2312" w:cs="仿宋_GB2312"/>
          <w:color w:val="auto"/>
          <w:sz w:val="32"/>
          <w:szCs w:val="32"/>
          <w:lang w:eastAsia="zh-CN"/>
        </w:rPr>
        <w:t>县</w:t>
      </w:r>
      <w:r>
        <w:rPr>
          <w:rFonts w:hint="eastAsia" w:ascii="仿宋_GB2312" w:hAnsi="仿宋_GB2312" w:eastAsia="仿宋_GB2312" w:cs="仿宋_GB2312"/>
          <w:color w:val="auto"/>
          <w:sz w:val="32"/>
          <w:szCs w:val="32"/>
        </w:rPr>
        <w:t>行政审批局</w:t>
      </w:r>
      <w:r>
        <w:rPr>
          <w:rFonts w:hint="eastAsia" w:ascii="仿宋_GB2312" w:hAnsi="仿宋_GB2312" w:eastAsia="仿宋_GB2312" w:cs="仿宋_GB2312"/>
          <w:color w:val="auto"/>
          <w:sz w:val="32"/>
          <w:szCs w:val="32"/>
          <w:lang w:eastAsia="zh-CN"/>
        </w:rPr>
        <w:t>、各乡（镇）人民政府、华侨管理区等</w:t>
      </w:r>
      <w:r>
        <w:rPr>
          <w:rFonts w:hint="eastAsia" w:ascii="仿宋_GB2312" w:hAnsi="仿宋_GB2312" w:eastAsia="仿宋_GB2312" w:cs="仿宋_GB2312"/>
          <w:color w:val="auto"/>
          <w:sz w:val="32"/>
          <w:szCs w:val="32"/>
        </w:rPr>
        <w:t>按职责分工负责）</w:t>
      </w:r>
    </w:p>
    <w:p>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3.扎实开展建设用地土壤污染风险管控与修复</w:t>
      </w:r>
    </w:p>
    <w:p>
      <w:pPr>
        <w:keepNext w:val="0"/>
        <w:keepLines w:val="0"/>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污染地块名录确定暂不开发利用或现阶段不具备治理修复条件的污染地块，制定并落实年度风险管控计划。依法推进用途变更为“一住两公”的污染地块落实好风险管控与修复工作；严控污染地块风险管控和修复过程中产生的异味等二次污染。（</w:t>
      </w:r>
      <w:r>
        <w:rPr>
          <w:rFonts w:hint="eastAsia" w:ascii="仿宋_GB2312" w:hAnsi="仿宋_GB2312" w:eastAsia="仿宋_GB2312" w:cs="仿宋_GB2312"/>
          <w:color w:val="auto"/>
          <w:sz w:val="32"/>
          <w:szCs w:val="32"/>
          <w:lang w:eastAsia="zh-CN"/>
        </w:rPr>
        <w:t>柳城</w:t>
      </w:r>
      <w:r>
        <w:rPr>
          <w:rFonts w:hint="eastAsia" w:ascii="仿宋_GB2312" w:hAnsi="仿宋_GB2312" w:eastAsia="仿宋_GB2312" w:cs="仿宋_GB2312"/>
          <w:color w:val="auto"/>
          <w:sz w:val="32"/>
          <w:szCs w:val="32"/>
        </w:rPr>
        <w:t>生态环境局牵头，</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自然资源和规划局</w:t>
      </w:r>
      <w:r>
        <w:rPr>
          <w:rFonts w:hint="eastAsia" w:ascii="仿宋_GB2312" w:hAnsi="仿宋_GB2312" w:eastAsia="仿宋_GB2312" w:cs="仿宋_GB2312"/>
          <w:color w:val="auto"/>
          <w:sz w:val="32"/>
          <w:szCs w:val="32"/>
          <w:lang w:eastAsia="zh-CN"/>
        </w:rPr>
        <w:t>、各乡（镇）人民政府、华侨管理区</w:t>
      </w:r>
      <w:r>
        <w:rPr>
          <w:rFonts w:hint="eastAsia" w:ascii="仿宋_GB2312" w:hAnsi="仿宋_GB2312" w:eastAsia="仿宋_GB2312" w:cs="仿宋_GB2312"/>
          <w:color w:val="auto"/>
          <w:sz w:val="32"/>
          <w:szCs w:val="32"/>
        </w:rPr>
        <w:t>等参与）</w:t>
      </w:r>
    </w:p>
    <w:p>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4.规范相关活动从业单位和个人信用管理</w:t>
      </w:r>
    </w:p>
    <w:p>
      <w:pPr>
        <w:keepNext w:val="0"/>
        <w:keepLines w:val="0"/>
        <w:pageBreakBefore w:val="0"/>
        <w:kinsoku/>
        <w:wordWrap/>
        <w:overflowPunct/>
        <w:topLinePunct w:val="0"/>
        <w:autoSpaceDE/>
        <w:autoSpaceDN/>
        <w:bidi w:val="0"/>
        <w:adjustRightInd/>
        <w:snapToGrid w:val="0"/>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土壤污染状况调查报告评审部门按年度在其官网公开调查报告评审情况。按国家相关要求适时组织开展建设用地土壤污染状况调查质量监督检查。依法将从事土壤污染风险管控与修复等相关活动的单位、个人的执业情况和违法行为记入信用记录，纳入</w:t>
      </w:r>
      <w:r>
        <w:rPr>
          <w:rFonts w:hint="eastAsia" w:ascii="仿宋_GB2312" w:hAnsi="仿宋_GB2312" w:eastAsia="仿宋_GB2312" w:cs="仿宋_GB2312"/>
          <w:color w:val="auto"/>
          <w:sz w:val="32"/>
          <w:szCs w:val="32"/>
          <w:lang w:eastAsia="zh-CN"/>
        </w:rPr>
        <w:t>柳州市</w:t>
      </w:r>
      <w:r>
        <w:rPr>
          <w:rFonts w:hint="eastAsia" w:ascii="仿宋_GB2312" w:hAnsi="仿宋_GB2312" w:eastAsia="仿宋_GB2312" w:cs="仿宋_GB2312"/>
          <w:color w:val="auto"/>
          <w:sz w:val="32"/>
          <w:szCs w:val="32"/>
        </w:rPr>
        <w:t>信用信息平台，并向社会公布。（</w:t>
      </w:r>
      <w:r>
        <w:rPr>
          <w:rFonts w:hint="eastAsia" w:ascii="仿宋_GB2312" w:hAnsi="仿宋_GB2312" w:eastAsia="仿宋_GB2312" w:cs="仿宋_GB2312"/>
          <w:color w:val="auto"/>
          <w:sz w:val="32"/>
          <w:szCs w:val="32"/>
          <w:lang w:eastAsia="zh-CN"/>
        </w:rPr>
        <w:t>柳城</w:t>
      </w:r>
      <w:r>
        <w:rPr>
          <w:rFonts w:hint="eastAsia" w:ascii="仿宋_GB2312" w:hAnsi="仿宋_GB2312" w:eastAsia="仿宋_GB2312" w:cs="仿宋_GB2312"/>
          <w:color w:val="auto"/>
          <w:sz w:val="32"/>
          <w:szCs w:val="32"/>
        </w:rPr>
        <w:t>生态环境局牵头，</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自然资源和规划局、</w:t>
      </w:r>
      <w:r>
        <w:rPr>
          <w:rFonts w:hint="eastAsia" w:ascii="仿宋_GB2312" w:hAnsi="仿宋_GB2312" w:cs="仿宋_GB2312"/>
          <w:color w:val="auto"/>
          <w:sz w:val="32"/>
          <w:szCs w:val="32"/>
          <w:lang w:eastAsia="zh-CN"/>
        </w:rPr>
        <w:t>县</w:t>
      </w:r>
      <w:r>
        <w:rPr>
          <w:rFonts w:hint="eastAsia" w:ascii="仿宋_GB2312" w:hAnsi="仿宋_GB2312" w:eastAsia="仿宋_GB2312" w:cs="仿宋_GB2312"/>
          <w:color w:val="auto"/>
          <w:sz w:val="32"/>
          <w:szCs w:val="32"/>
        </w:rPr>
        <w:t>发展</w:t>
      </w:r>
      <w:r>
        <w:rPr>
          <w:rFonts w:hint="eastAsia" w:ascii="仿宋_GB2312" w:hAnsi="仿宋_GB2312" w:cs="仿宋_GB2312"/>
          <w:color w:val="auto"/>
          <w:sz w:val="32"/>
          <w:szCs w:val="32"/>
          <w:lang w:eastAsia="zh-CN"/>
        </w:rPr>
        <w:t>和</w:t>
      </w:r>
      <w:r>
        <w:rPr>
          <w:rFonts w:hint="eastAsia" w:ascii="仿宋_GB2312" w:hAnsi="仿宋_GB2312" w:eastAsia="仿宋_GB2312" w:cs="仿宋_GB2312"/>
          <w:color w:val="auto"/>
          <w:sz w:val="32"/>
          <w:szCs w:val="32"/>
        </w:rPr>
        <w:t>改革</w:t>
      </w:r>
      <w:r>
        <w:rPr>
          <w:rFonts w:hint="eastAsia" w:ascii="仿宋_GB2312" w:hAnsi="仿宋_GB2312" w:cs="仿宋_GB2312"/>
          <w:color w:val="auto"/>
          <w:sz w:val="32"/>
          <w:szCs w:val="32"/>
          <w:lang w:eastAsia="zh-CN"/>
        </w:rPr>
        <w:t>局</w:t>
      </w:r>
      <w:r>
        <w:rPr>
          <w:rFonts w:hint="eastAsia" w:ascii="仿宋_GB2312" w:hAnsi="仿宋_GB2312" w:eastAsia="仿宋_GB2312" w:cs="仿宋_GB2312"/>
          <w:color w:val="auto"/>
          <w:sz w:val="32"/>
          <w:szCs w:val="32"/>
        </w:rPr>
        <w:t>、</w:t>
      </w:r>
      <w:r>
        <w:rPr>
          <w:rFonts w:hint="eastAsia" w:ascii="仿宋_GB2312" w:hAnsi="仿宋_GB2312" w:cs="仿宋_GB2312"/>
          <w:color w:val="auto"/>
          <w:sz w:val="32"/>
          <w:szCs w:val="32"/>
          <w:lang w:eastAsia="zh-CN"/>
        </w:rPr>
        <w:t>县</w:t>
      </w:r>
      <w:r>
        <w:rPr>
          <w:rFonts w:hint="eastAsia" w:ascii="仿宋_GB2312" w:hAnsi="仿宋_GB2312" w:eastAsia="仿宋_GB2312" w:cs="仿宋_GB2312"/>
          <w:color w:val="auto"/>
          <w:sz w:val="32"/>
          <w:szCs w:val="32"/>
        </w:rPr>
        <w:t>市场监督管理局等参与）</w:t>
      </w:r>
    </w:p>
    <w:p>
      <w:pPr>
        <w:keepNext w:val="0"/>
        <w:keepLines w:val="0"/>
        <w:pageBreakBefore w:val="0"/>
        <w:kinsoku/>
        <w:wordWrap/>
        <w:overflowPunct/>
        <w:topLinePunct w:val="0"/>
        <w:autoSpaceDE/>
        <w:autoSpaceDN/>
        <w:bidi w:val="0"/>
        <w:adjustRightInd/>
        <w:spacing w:line="560" w:lineRule="exact"/>
        <w:textAlignment w:val="auto"/>
        <w:outlineLvl w:val="1"/>
        <w:rPr>
          <w:rFonts w:hint="eastAsia" w:ascii="楷体_GB2312" w:hAnsi="楷体_GB2312" w:eastAsia="楷体_GB2312" w:cs="楷体_GB2312"/>
          <w:b/>
          <w:bCs w:val="0"/>
          <w:color w:val="auto"/>
          <w:sz w:val="32"/>
          <w:szCs w:val="32"/>
        </w:rPr>
      </w:pPr>
      <w:r>
        <w:rPr>
          <w:rFonts w:hint="eastAsia" w:ascii="楷体_GB2312" w:hAnsi="楷体_GB2312" w:eastAsia="楷体_GB2312" w:cs="楷体_GB2312"/>
          <w:b/>
          <w:bCs w:val="0"/>
          <w:color w:val="auto"/>
          <w:sz w:val="32"/>
          <w:szCs w:val="32"/>
        </w:rPr>
        <w:t>（</w:t>
      </w:r>
      <w:r>
        <w:rPr>
          <w:rFonts w:hint="eastAsia" w:ascii="楷体_GB2312" w:hAnsi="楷体_GB2312" w:eastAsia="楷体_GB2312" w:cs="楷体_GB2312"/>
          <w:b/>
          <w:bCs w:val="0"/>
          <w:color w:val="auto"/>
          <w:sz w:val="32"/>
          <w:szCs w:val="32"/>
          <w:lang w:eastAsia="zh-CN"/>
        </w:rPr>
        <w:t>五</w:t>
      </w:r>
      <w:r>
        <w:rPr>
          <w:rFonts w:hint="eastAsia" w:ascii="楷体_GB2312" w:hAnsi="楷体_GB2312" w:eastAsia="楷体_GB2312" w:cs="楷体_GB2312"/>
          <w:b/>
          <w:bCs w:val="0"/>
          <w:color w:val="auto"/>
          <w:sz w:val="32"/>
          <w:szCs w:val="32"/>
        </w:rPr>
        <w:t>）扎实推进地下水污染防治工作</w:t>
      </w:r>
    </w:p>
    <w:p>
      <w:pPr>
        <w:keepNext w:val="0"/>
        <w:keepLines w:val="0"/>
        <w:pageBreakBefore w:val="0"/>
        <w:widowControl/>
        <w:suppressLineNumbers w:val="0"/>
        <w:kinsoku/>
        <w:wordWrap/>
        <w:overflowPunct/>
        <w:topLinePunct w:val="0"/>
        <w:autoSpaceDE/>
        <w:autoSpaceDN/>
        <w:bidi w:val="0"/>
        <w:adjustRightInd/>
        <w:spacing w:line="560" w:lineRule="exact"/>
        <w:ind w:firstLine="643" w:firstLineChars="200"/>
        <w:jc w:val="left"/>
        <w:textAlignment w:val="auto"/>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lang w:val="en-US" w:eastAsia="zh-CN"/>
        </w:rPr>
        <w:t>1.</w:t>
      </w:r>
      <w:r>
        <w:rPr>
          <w:rFonts w:hint="default" w:ascii="Times New Roman" w:hAnsi="Times New Roman" w:eastAsia="仿宋_GB2312" w:cs="Times New Roman"/>
          <w:b/>
          <w:bCs/>
          <w:color w:val="auto"/>
          <w:sz w:val="32"/>
          <w:szCs w:val="32"/>
          <w:highlight w:val="none"/>
        </w:rPr>
        <w:t>持续开展地下水污染状况调查评估</w:t>
      </w:r>
    </w:p>
    <w:p>
      <w:pPr>
        <w:keepNext w:val="0"/>
        <w:keepLines w:val="0"/>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32"/>
          <w:szCs w:val="32"/>
        </w:rPr>
      </w:pPr>
      <w:r>
        <w:rPr>
          <w:rFonts w:hint="default" w:ascii="Times New Roman" w:hAnsi="Times New Roman" w:eastAsia="仿宋_GB2312" w:cs="Times New Roman"/>
          <w:color w:val="auto"/>
          <w:sz w:val="32"/>
          <w:szCs w:val="32"/>
          <w:highlight w:val="none"/>
          <w:lang w:val="en-US" w:eastAsia="zh-CN"/>
        </w:rPr>
        <w:t>积极</w:t>
      </w:r>
      <w:r>
        <w:rPr>
          <w:rFonts w:hint="eastAsia" w:cs="Times New Roman"/>
          <w:color w:val="auto"/>
          <w:sz w:val="32"/>
          <w:szCs w:val="32"/>
          <w:highlight w:val="none"/>
          <w:lang w:val="en-US" w:eastAsia="zh-CN"/>
        </w:rPr>
        <w:t>协助</w:t>
      </w:r>
      <w:r>
        <w:rPr>
          <w:rFonts w:hint="default" w:ascii="Times New Roman" w:hAnsi="Times New Roman" w:eastAsia="仿宋_GB2312" w:cs="Times New Roman"/>
          <w:color w:val="auto"/>
          <w:sz w:val="32"/>
          <w:szCs w:val="32"/>
          <w:highlight w:val="none"/>
          <w:lang w:val="en-US" w:eastAsia="zh-CN"/>
        </w:rPr>
        <w:t>柳州市地下水污染防治重点区划定，完成柳州市地下水基础环境状况调查评估及地下水污染防治区划分项目，建立分级分类的地下水环境管理体系。</w:t>
      </w:r>
      <w:r>
        <w:rPr>
          <w:rFonts w:hint="eastAsia" w:cs="Times New Roman"/>
          <w:color w:val="auto"/>
          <w:sz w:val="32"/>
          <w:szCs w:val="32"/>
          <w:highlight w:val="none"/>
          <w:lang w:val="en-US" w:eastAsia="zh-CN"/>
        </w:rPr>
        <w:t>协助市级</w:t>
      </w:r>
      <w:r>
        <w:rPr>
          <w:rFonts w:hint="default" w:ascii="Times New Roman" w:hAnsi="Times New Roman" w:eastAsia="仿宋_GB2312" w:cs="Times New Roman"/>
          <w:color w:val="auto"/>
          <w:sz w:val="32"/>
          <w:szCs w:val="32"/>
          <w:highlight w:val="none"/>
          <w:lang w:val="en-US" w:eastAsia="zh-CN"/>
        </w:rPr>
        <w:t>开展垃圾填埋场地下水环境调查评估项目，基本掌握垃圾填埋场及周边地下水环境状况。按要求</w:t>
      </w:r>
      <w:r>
        <w:rPr>
          <w:rFonts w:hint="eastAsia" w:cs="Times New Roman"/>
          <w:color w:val="auto"/>
          <w:sz w:val="32"/>
          <w:szCs w:val="32"/>
          <w:highlight w:val="none"/>
          <w:lang w:val="en-US" w:eastAsia="zh-CN"/>
        </w:rPr>
        <w:t>协助</w:t>
      </w:r>
      <w:r>
        <w:rPr>
          <w:rFonts w:hint="default" w:ascii="Times New Roman" w:hAnsi="Times New Roman" w:eastAsia="仿宋_GB2312" w:cs="Times New Roman"/>
          <w:color w:val="auto"/>
          <w:sz w:val="32"/>
          <w:szCs w:val="32"/>
          <w:highlight w:val="none"/>
          <w:lang w:val="en-US" w:eastAsia="zh-CN"/>
        </w:rPr>
        <w:t>开展地下水生态环境保护工作年度评估</w:t>
      </w:r>
      <w:r>
        <w:rPr>
          <w:rFonts w:hint="eastAsia" w:cs="Times New Roman"/>
          <w:color w:val="auto"/>
          <w:sz w:val="32"/>
          <w:szCs w:val="32"/>
          <w:highlight w:val="none"/>
          <w:lang w:val="en-US" w:eastAsia="zh-CN"/>
        </w:rPr>
        <w:t>工作</w:t>
      </w:r>
      <w:r>
        <w:rPr>
          <w:rFonts w:hint="default" w:ascii="Times New Roman" w:hAnsi="Times New Roman" w:eastAsia="仿宋_GB2312" w:cs="Times New Roman"/>
          <w:color w:val="auto"/>
          <w:sz w:val="32"/>
          <w:szCs w:val="32"/>
          <w:highlight w:val="none"/>
          <w:lang w:val="en-US" w:eastAsia="zh-CN"/>
        </w:rPr>
        <w:t>。</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柳城</w:t>
      </w:r>
      <w:r>
        <w:rPr>
          <w:rFonts w:hint="eastAsia" w:ascii="仿宋_GB2312" w:hAnsi="仿宋_GB2312" w:eastAsia="仿宋_GB2312" w:cs="仿宋_GB2312"/>
          <w:color w:val="auto"/>
          <w:sz w:val="32"/>
          <w:szCs w:val="32"/>
        </w:rPr>
        <w:t>生态环境局牵头，</w:t>
      </w:r>
      <w:r>
        <w:rPr>
          <w:rFonts w:hint="eastAsia" w:ascii="仿宋_GB2312" w:hAnsi="仿宋_GB2312" w:eastAsia="仿宋_GB2312" w:cs="仿宋_GB2312"/>
          <w:bCs/>
          <w:color w:val="auto"/>
          <w:sz w:val="32"/>
          <w:szCs w:val="32"/>
        </w:rPr>
        <w:t>县工业区管理委员会</w:t>
      </w:r>
      <w:r>
        <w:rPr>
          <w:rFonts w:hint="eastAsia" w:ascii="仿宋_GB2312" w:hAnsi="仿宋_GB2312" w:cs="仿宋_GB2312"/>
          <w:bCs/>
          <w:color w:val="auto"/>
          <w:sz w:val="32"/>
          <w:szCs w:val="32"/>
          <w:lang w:eastAsia="zh-CN"/>
        </w:rPr>
        <w:t>、</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水利局、</w:t>
      </w:r>
      <w:r>
        <w:rPr>
          <w:rFonts w:hint="eastAsia" w:ascii="仿宋_GB2312" w:hAnsi="仿宋_GB2312" w:eastAsia="仿宋_GB2312" w:cs="仿宋_GB2312"/>
          <w:color w:val="auto"/>
          <w:sz w:val="32"/>
          <w:szCs w:val="32"/>
          <w:lang w:eastAsia="zh-CN"/>
        </w:rPr>
        <w:t>各乡（镇）人民政府、华侨管理区</w:t>
      </w:r>
      <w:r>
        <w:rPr>
          <w:rFonts w:hint="eastAsia" w:ascii="仿宋_GB2312" w:hAnsi="仿宋_GB2312" w:eastAsia="仿宋_GB2312" w:cs="仿宋_GB2312"/>
          <w:color w:val="auto"/>
          <w:sz w:val="32"/>
          <w:szCs w:val="32"/>
        </w:rPr>
        <w:t>等参与）</w:t>
      </w:r>
    </w:p>
    <w:p>
      <w:pPr>
        <w:keepNext w:val="0"/>
        <w:keepLines w:val="0"/>
        <w:pageBreakBefore w:val="0"/>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lang w:val="en-US" w:eastAsia="zh-CN"/>
        </w:rPr>
        <w:t>2.</w:t>
      </w:r>
      <w:r>
        <w:rPr>
          <w:rFonts w:hint="default" w:ascii="Times New Roman" w:hAnsi="Times New Roman" w:eastAsia="仿宋_GB2312" w:cs="Times New Roman"/>
          <w:b/>
          <w:bCs/>
          <w:color w:val="auto"/>
          <w:sz w:val="32"/>
          <w:szCs w:val="32"/>
          <w:highlight w:val="none"/>
          <w:lang w:eastAsia="zh-CN"/>
        </w:rPr>
        <w:t>配合</w:t>
      </w:r>
      <w:r>
        <w:rPr>
          <w:rFonts w:hint="default" w:ascii="Times New Roman" w:hAnsi="Times New Roman" w:eastAsia="仿宋_GB2312" w:cs="Times New Roman"/>
          <w:b/>
          <w:bCs/>
          <w:color w:val="auto"/>
          <w:sz w:val="32"/>
          <w:szCs w:val="32"/>
          <w:highlight w:val="none"/>
        </w:rPr>
        <w:t>开展地下水污染风险管控与修复</w:t>
      </w:r>
    </w:p>
    <w:p>
      <w:pPr>
        <w:keepNext w:val="0"/>
        <w:keepLines w:val="0"/>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32"/>
          <w:szCs w:val="32"/>
        </w:rPr>
      </w:pPr>
      <w:r>
        <w:rPr>
          <w:rFonts w:hint="default" w:ascii="Times New Roman" w:hAnsi="Times New Roman" w:eastAsia="仿宋_GB2312" w:cs="Times New Roman"/>
          <w:color w:val="auto"/>
          <w:sz w:val="32"/>
          <w:szCs w:val="32"/>
          <w:highlight w:val="none"/>
          <w:lang w:val="en-US" w:eastAsia="zh-CN"/>
        </w:rPr>
        <w:t>按照自治区生态环境厅统一部署，</w:t>
      </w:r>
      <w:r>
        <w:rPr>
          <w:rFonts w:hint="eastAsia" w:cs="Times New Roman"/>
          <w:color w:val="auto"/>
          <w:sz w:val="32"/>
          <w:szCs w:val="32"/>
          <w:highlight w:val="none"/>
          <w:lang w:val="en-US" w:eastAsia="zh-CN"/>
        </w:rPr>
        <w:t>协助</w:t>
      </w:r>
      <w:r>
        <w:rPr>
          <w:rFonts w:hint="default" w:ascii="Times New Roman" w:hAnsi="Times New Roman" w:eastAsia="仿宋_GB2312" w:cs="Times New Roman"/>
          <w:color w:val="auto"/>
          <w:sz w:val="32"/>
          <w:szCs w:val="32"/>
          <w:highlight w:val="none"/>
          <w:lang w:val="en-US" w:eastAsia="zh-CN"/>
        </w:rPr>
        <w:t>完成广西化工园区类别划分，督促一类园区实施地下水污染风险管控措施；针对存在地下水污染风险隐患的典型废弃井，</w:t>
      </w:r>
      <w:r>
        <w:rPr>
          <w:rFonts w:hint="eastAsia" w:cs="Times New Roman"/>
          <w:color w:val="auto"/>
          <w:sz w:val="32"/>
          <w:szCs w:val="32"/>
          <w:highlight w:val="none"/>
          <w:lang w:val="en-US" w:eastAsia="zh-CN"/>
        </w:rPr>
        <w:t>协助</w:t>
      </w:r>
      <w:r>
        <w:rPr>
          <w:rFonts w:hint="default" w:ascii="Times New Roman" w:hAnsi="Times New Roman" w:eastAsia="仿宋_GB2312" w:cs="Times New Roman"/>
          <w:color w:val="auto"/>
          <w:sz w:val="32"/>
          <w:szCs w:val="32"/>
          <w:highlight w:val="none"/>
          <w:lang w:val="en-US" w:eastAsia="zh-CN"/>
        </w:rPr>
        <w:t>开展典型废弃井与周边地下水环境污染源汇关系调查等工作。</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柳城</w:t>
      </w:r>
      <w:r>
        <w:rPr>
          <w:rFonts w:hint="eastAsia" w:ascii="仿宋_GB2312" w:hAnsi="仿宋_GB2312" w:eastAsia="仿宋_GB2312" w:cs="仿宋_GB2312"/>
          <w:color w:val="auto"/>
          <w:sz w:val="32"/>
          <w:szCs w:val="32"/>
        </w:rPr>
        <w:t>生态环境局牵头，</w:t>
      </w:r>
      <w:r>
        <w:rPr>
          <w:rFonts w:hint="eastAsia" w:ascii="仿宋_GB2312" w:hAnsi="仿宋_GB2312" w:eastAsia="仿宋_GB2312" w:cs="仿宋_GB2312"/>
          <w:bCs/>
          <w:color w:val="auto"/>
          <w:sz w:val="32"/>
          <w:szCs w:val="32"/>
        </w:rPr>
        <w:t>县工业区管理委员会</w:t>
      </w:r>
      <w:r>
        <w:rPr>
          <w:rFonts w:hint="eastAsia" w:ascii="仿宋_GB2312" w:hAnsi="仿宋_GB2312" w:cs="仿宋_GB2312"/>
          <w:bCs/>
          <w:color w:val="auto"/>
          <w:sz w:val="32"/>
          <w:szCs w:val="32"/>
          <w:lang w:eastAsia="zh-CN"/>
        </w:rPr>
        <w:t>、</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水利局、</w:t>
      </w:r>
      <w:r>
        <w:rPr>
          <w:rFonts w:hint="eastAsia" w:ascii="仿宋_GB2312" w:hAnsi="仿宋_GB2312" w:cs="仿宋_GB2312"/>
          <w:color w:val="auto"/>
          <w:sz w:val="32"/>
          <w:szCs w:val="32"/>
          <w:lang w:eastAsia="zh-CN"/>
        </w:rPr>
        <w:t>县</w:t>
      </w:r>
      <w:r>
        <w:rPr>
          <w:rFonts w:hint="eastAsia" w:ascii="仿宋_GB2312" w:hAnsi="仿宋_GB2312" w:eastAsia="仿宋_GB2312" w:cs="仿宋_GB2312"/>
          <w:color w:val="auto"/>
          <w:sz w:val="32"/>
          <w:szCs w:val="32"/>
        </w:rPr>
        <w:t>自然资源和规划局、</w:t>
      </w:r>
      <w:r>
        <w:rPr>
          <w:rFonts w:hint="eastAsia" w:ascii="仿宋_GB2312" w:hAnsi="仿宋_GB2312" w:eastAsia="仿宋_GB2312" w:cs="仿宋_GB2312"/>
          <w:color w:val="auto"/>
          <w:sz w:val="32"/>
          <w:szCs w:val="32"/>
          <w:lang w:eastAsia="zh-CN"/>
        </w:rPr>
        <w:t>各乡（镇）人民政府、华侨管理区</w:t>
      </w:r>
      <w:r>
        <w:rPr>
          <w:rFonts w:hint="eastAsia" w:ascii="仿宋_GB2312" w:hAnsi="仿宋_GB2312" w:eastAsia="仿宋_GB2312" w:cs="仿宋_GB2312"/>
          <w:color w:val="auto"/>
          <w:sz w:val="32"/>
          <w:szCs w:val="32"/>
        </w:rPr>
        <w:t>等参与）</w:t>
      </w:r>
    </w:p>
    <w:p>
      <w:pPr>
        <w:keepNext w:val="0"/>
        <w:keepLines w:val="0"/>
        <w:pageBreakBefore w:val="0"/>
        <w:widowControl w:val="0"/>
        <w:kinsoku/>
        <w:wordWrap/>
        <w:overflowPunct/>
        <w:topLinePunct w:val="0"/>
        <w:autoSpaceDE/>
        <w:autoSpaceDN/>
        <w:bidi w:val="0"/>
        <w:adjustRightInd/>
        <w:spacing w:line="560" w:lineRule="exact"/>
        <w:ind w:left="640" w:firstLine="0" w:firstLineChars="0"/>
        <w:textAlignment w:val="auto"/>
        <w:outlineLvl w:val="1"/>
        <w:rPr>
          <w:rFonts w:hint="eastAsia" w:ascii="楷体_GB2312" w:hAnsi="楷体_GB2312" w:eastAsia="楷体_GB2312" w:cs="楷体_GB2312"/>
          <w:b/>
          <w:bCs w:val="0"/>
          <w:color w:val="auto"/>
          <w:sz w:val="32"/>
          <w:szCs w:val="32"/>
        </w:rPr>
      </w:pPr>
      <w:r>
        <w:rPr>
          <w:rFonts w:hint="eastAsia" w:ascii="楷体_GB2312" w:hAnsi="楷体_GB2312" w:eastAsia="楷体_GB2312" w:cs="楷体_GB2312"/>
          <w:b/>
          <w:bCs w:val="0"/>
          <w:color w:val="auto"/>
          <w:sz w:val="32"/>
          <w:szCs w:val="32"/>
        </w:rPr>
        <w:t>（</w:t>
      </w:r>
      <w:r>
        <w:rPr>
          <w:rFonts w:hint="eastAsia" w:ascii="楷体_GB2312" w:hAnsi="楷体_GB2312" w:eastAsia="楷体_GB2312" w:cs="楷体_GB2312"/>
          <w:b/>
          <w:bCs w:val="0"/>
          <w:color w:val="auto"/>
          <w:sz w:val="32"/>
          <w:szCs w:val="32"/>
          <w:lang w:eastAsia="zh-CN"/>
        </w:rPr>
        <w:t>六</w:t>
      </w:r>
      <w:r>
        <w:rPr>
          <w:rFonts w:hint="eastAsia" w:ascii="楷体_GB2312" w:hAnsi="楷体_GB2312" w:eastAsia="楷体_GB2312" w:cs="楷体_GB2312"/>
          <w:b/>
          <w:bCs w:val="0"/>
          <w:color w:val="auto"/>
          <w:sz w:val="32"/>
          <w:szCs w:val="32"/>
        </w:rPr>
        <w:t>）务实推进治理体系与治理能力建设</w:t>
      </w:r>
    </w:p>
    <w:p>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强化土壤污染防治资金与项目管理</w:t>
      </w:r>
    </w:p>
    <w:p>
      <w:pPr>
        <w:keepNext w:val="0"/>
        <w:keepLines w:val="0"/>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color w:val="auto"/>
          <w:sz w:val="32"/>
          <w:szCs w:val="32"/>
        </w:rPr>
        <w:t>围绕土壤污染防治重点任务，积极做好土壤污染防治项目</w:t>
      </w:r>
      <w:r>
        <w:rPr>
          <w:rFonts w:hint="eastAsia" w:ascii="仿宋_GB2312" w:hAnsi="仿宋_GB2312" w:cs="仿宋_GB2312"/>
          <w:color w:val="auto"/>
          <w:sz w:val="32"/>
          <w:szCs w:val="32"/>
          <w:lang w:eastAsia="zh-CN"/>
        </w:rPr>
        <w:t>谋划、包装及申报</w:t>
      </w:r>
      <w:r>
        <w:rPr>
          <w:rFonts w:hint="eastAsia" w:ascii="仿宋_GB2312" w:hAnsi="仿宋_GB2312" w:eastAsia="仿宋_GB2312" w:cs="仿宋_GB2312"/>
          <w:color w:val="auto"/>
          <w:sz w:val="32"/>
          <w:szCs w:val="32"/>
        </w:rPr>
        <w:t>，提高项目储备质量，夯实项目实施基础，实现项目储备常态化、制度化。（</w:t>
      </w:r>
      <w:r>
        <w:rPr>
          <w:rFonts w:hint="eastAsia" w:ascii="仿宋_GB2312" w:hAnsi="仿宋_GB2312" w:eastAsia="仿宋_GB2312" w:cs="仿宋_GB2312"/>
          <w:color w:val="auto"/>
          <w:sz w:val="32"/>
          <w:szCs w:val="32"/>
          <w:lang w:eastAsia="zh-CN"/>
        </w:rPr>
        <w:t>柳城</w:t>
      </w:r>
      <w:r>
        <w:rPr>
          <w:rFonts w:hint="eastAsia" w:ascii="仿宋_GB2312" w:hAnsi="仿宋_GB2312" w:eastAsia="仿宋_GB2312" w:cs="仿宋_GB2312"/>
          <w:color w:val="auto"/>
          <w:sz w:val="32"/>
          <w:szCs w:val="32"/>
        </w:rPr>
        <w:t>生态环境局、</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财政局牵头，</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农业农村局、</w:t>
      </w:r>
      <w:r>
        <w:rPr>
          <w:rFonts w:hint="eastAsia" w:ascii="仿宋_GB2312" w:hAnsi="仿宋_GB2312" w:cs="仿宋_GB2312"/>
          <w:color w:val="auto"/>
          <w:sz w:val="32"/>
          <w:szCs w:val="32"/>
          <w:lang w:eastAsia="zh-CN"/>
        </w:rPr>
        <w:t>县</w:t>
      </w:r>
      <w:r>
        <w:rPr>
          <w:rFonts w:hint="eastAsia" w:ascii="仿宋_GB2312" w:hAnsi="仿宋_GB2312" w:eastAsia="仿宋_GB2312" w:cs="仿宋_GB2312"/>
          <w:color w:val="auto"/>
          <w:sz w:val="32"/>
          <w:szCs w:val="32"/>
        </w:rPr>
        <w:t>自然资源和规划局、</w:t>
      </w:r>
      <w:r>
        <w:rPr>
          <w:rFonts w:hint="eastAsia" w:ascii="仿宋_GB2312" w:hAnsi="仿宋_GB2312" w:cs="仿宋_GB2312"/>
          <w:color w:val="auto"/>
          <w:sz w:val="32"/>
          <w:szCs w:val="32"/>
          <w:lang w:eastAsia="zh-CN"/>
        </w:rPr>
        <w:t>县</w:t>
      </w:r>
      <w:r>
        <w:rPr>
          <w:rFonts w:hint="eastAsia" w:ascii="仿宋_GB2312" w:hAnsi="仿宋_GB2312" w:eastAsia="仿宋_GB2312" w:cs="仿宋_GB2312"/>
          <w:color w:val="auto"/>
          <w:sz w:val="32"/>
          <w:szCs w:val="32"/>
        </w:rPr>
        <w:t>审计局等参与）</w:t>
      </w:r>
    </w:p>
    <w:p>
      <w:pPr>
        <w:keepNext w:val="0"/>
        <w:keepLines w:val="0"/>
        <w:pageBreakBefore w:val="0"/>
        <w:widowControl w:val="0"/>
        <w:kinsoku/>
        <w:wordWrap/>
        <w:overflowPunct/>
        <w:topLinePunct w:val="0"/>
        <w:autoSpaceDE/>
        <w:autoSpaceDN/>
        <w:bidi w:val="0"/>
        <w:adjustRightInd/>
        <w:spacing w:line="560" w:lineRule="exact"/>
        <w:ind w:left="640" w:firstLine="0" w:firstLineChars="0"/>
        <w:textAlignment w:val="auto"/>
        <w:outlineLvl w:val="0"/>
        <w:rPr>
          <w:rFonts w:hint="eastAsia" w:ascii="黑体" w:hAnsi="黑体" w:eastAsia="黑体" w:cs="黑体"/>
          <w:color w:val="auto"/>
          <w:sz w:val="32"/>
          <w:szCs w:val="32"/>
        </w:rPr>
      </w:pPr>
      <w:r>
        <w:rPr>
          <w:rFonts w:hint="eastAsia" w:ascii="黑体" w:hAnsi="黑体" w:eastAsia="黑体" w:cs="黑体"/>
          <w:color w:val="auto"/>
          <w:sz w:val="32"/>
          <w:szCs w:val="32"/>
        </w:rPr>
        <w:t>三、工作要求</w:t>
      </w:r>
    </w:p>
    <w:p>
      <w:pPr>
        <w:keepNext w:val="0"/>
        <w:keepLines w:val="0"/>
        <w:pageBreakBefore w:val="0"/>
        <w:widowControl w:val="0"/>
        <w:numPr>
          <w:ilvl w:val="0"/>
          <w:numId w:val="2"/>
        </w:numPr>
        <w:kinsoku/>
        <w:wordWrap/>
        <w:overflowPunct/>
        <w:topLinePunct w:val="0"/>
        <w:autoSpaceDE/>
        <w:autoSpaceDN/>
        <w:bidi w:val="0"/>
        <w:adjustRightInd/>
        <w:spacing w:line="560" w:lineRule="exact"/>
        <w:ind w:firstLineChars="0"/>
        <w:textAlignment w:val="auto"/>
        <w:outlineLvl w:val="1"/>
        <w:rPr>
          <w:rFonts w:hint="eastAsia" w:ascii="楷体_GB2312" w:hAnsi="楷体_GB2312" w:eastAsia="楷体_GB2312" w:cs="楷体_GB2312"/>
          <w:b/>
          <w:bCs w:val="0"/>
          <w:color w:val="auto"/>
          <w:sz w:val="32"/>
          <w:szCs w:val="32"/>
        </w:rPr>
      </w:pPr>
      <w:r>
        <w:rPr>
          <w:rFonts w:hint="eastAsia" w:ascii="楷体_GB2312" w:hAnsi="楷体_GB2312" w:eastAsia="楷体_GB2312" w:cs="楷体_GB2312"/>
          <w:b/>
          <w:bCs w:val="0"/>
          <w:color w:val="auto"/>
          <w:sz w:val="32"/>
          <w:szCs w:val="32"/>
        </w:rPr>
        <w:t>加强组织领导</w:t>
      </w:r>
    </w:p>
    <w:p>
      <w:pPr>
        <w:keepNext w:val="0"/>
        <w:keepLines w:val="0"/>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县人民政府</w:t>
      </w:r>
      <w:r>
        <w:rPr>
          <w:rFonts w:hint="eastAsia" w:ascii="仿宋_GB2312" w:hAnsi="仿宋_GB2312" w:eastAsia="仿宋_GB2312" w:cs="仿宋_GB2312"/>
          <w:color w:val="auto"/>
          <w:sz w:val="32"/>
          <w:szCs w:val="32"/>
        </w:rPr>
        <w:t>是实施土壤污染防治工作的责任主体，要完善土壤污染防治工作政府协调推进机制，</w:t>
      </w:r>
      <w:r>
        <w:rPr>
          <w:rFonts w:hint="eastAsia" w:ascii="仿宋_GB2312" w:hAnsi="仿宋_GB2312" w:eastAsia="仿宋_GB2312" w:cs="仿宋_GB2312"/>
          <w:color w:val="auto"/>
          <w:spacing w:val="-6"/>
          <w:sz w:val="32"/>
          <w:szCs w:val="32"/>
        </w:rPr>
        <w:t>定期研究解决土壤污染防治工作中的重大问题。加强</w:t>
      </w:r>
      <w:r>
        <w:rPr>
          <w:rFonts w:hint="eastAsia" w:ascii="仿宋_GB2312" w:hAnsi="仿宋_GB2312" w:eastAsia="仿宋_GB2312" w:cs="仿宋_GB2312"/>
          <w:color w:val="auto"/>
          <w:sz w:val="32"/>
          <w:szCs w:val="32"/>
        </w:rPr>
        <w:t>《中华人民共和国土壤污染防治法》《广西壮族自治区土壤污染防治条例》等法律法规宣传解读，将土壤污染防治培训纳入党政领导干部培训。开展形式多样的土壤环境宣传教育，营造保护土壤环境的良好社会氛围。</w:t>
      </w:r>
    </w:p>
    <w:p>
      <w:pPr>
        <w:keepNext w:val="0"/>
        <w:keepLines w:val="0"/>
        <w:pageBreakBefore w:val="0"/>
        <w:widowControl w:val="0"/>
        <w:numPr>
          <w:ilvl w:val="0"/>
          <w:numId w:val="2"/>
        </w:numPr>
        <w:kinsoku/>
        <w:wordWrap/>
        <w:overflowPunct/>
        <w:topLinePunct w:val="0"/>
        <w:autoSpaceDE/>
        <w:autoSpaceDN/>
        <w:bidi w:val="0"/>
        <w:adjustRightInd/>
        <w:spacing w:line="560" w:lineRule="exact"/>
        <w:ind w:firstLineChars="0"/>
        <w:textAlignment w:val="auto"/>
        <w:rPr>
          <w:rFonts w:hint="eastAsia" w:ascii="楷体_GB2312" w:hAnsi="楷体_GB2312" w:eastAsia="楷体_GB2312" w:cs="楷体_GB2312"/>
          <w:b/>
          <w:bCs w:val="0"/>
          <w:color w:val="auto"/>
          <w:sz w:val="32"/>
          <w:szCs w:val="32"/>
        </w:rPr>
      </w:pPr>
      <w:r>
        <w:rPr>
          <w:rFonts w:hint="eastAsia" w:ascii="楷体_GB2312" w:hAnsi="楷体_GB2312" w:eastAsia="楷体_GB2312" w:cs="楷体_GB2312"/>
          <w:b/>
          <w:bCs w:val="0"/>
          <w:color w:val="auto"/>
          <w:sz w:val="32"/>
          <w:szCs w:val="32"/>
        </w:rPr>
        <w:t>加大资金投入</w:t>
      </w:r>
    </w:p>
    <w:p>
      <w:pPr>
        <w:keepNext w:val="0"/>
        <w:keepLines w:val="0"/>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不断创新投融资模式，</w:t>
      </w:r>
      <w:r>
        <w:rPr>
          <w:rFonts w:hint="eastAsia" w:ascii="仿宋_GB2312" w:hAnsi="仿宋_GB2312" w:eastAsia="仿宋_GB2312" w:cs="仿宋_GB2312"/>
          <w:color w:val="auto"/>
          <w:sz w:val="32"/>
          <w:szCs w:val="32"/>
          <w:lang w:eastAsia="zh-CN"/>
        </w:rPr>
        <w:t>完善</w:t>
      </w:r>
      <w:r>
        <w:rPr>
          <w:rFonts w:hint="eastAsia" w:ascii="仿宋_GB2312" w:hAnsi="仿宋_GB2312" w:eastAsia="仿宋_GB2312" w:cs="仿宋_GB2312"/>
          <w:color w:val="auto"/>
          <w:sz w:val="32"/>
          <w:szCs w:val="32"/>
        </w:rPr>
        <w:t>土壤污染防治基金</w:t>
      </w:r>
      <w:r>
        <w:rPr>
          <w:rFonts w:hint="eastAsia" w:ascii="仿宋_GB2312" w:hAnsi="仿宋_GB2312" w:eastAsia="仿宋_GB2312" w:cs="仿宋_GB2312"/>
          <w:color w:val="auto"/>
          <w:sz w:val="32"/>
          <w:szCs w:val="32"/>
          <w:lang w:eastAsia="zh-CN"/>
        </w:rPr>
        <w:t>市场运作</w:t>
      </w:r>
      <w:r>
        <w:rPr>
          <w:rFonts w:hint="eastAsia" w:ascii="仿宋_GB2312" w:hAnsi="仿宋_GB2312" w:eastAsia="仿宋_GB2312" w:cs="仿宋_GB2312"/>
          <w:color w:val="auto"/>
          <w:sz w:val="32"/>
          <w:szCs w:val="32"/>
        </w:rPr>
        <w:t>，积极申报中央专项资金，拓宽土壤治理与修复工作的资金来源。积极落实各级政府环保投入责任，编制年度经费预算，保障各项必要工作经费。督促污染土壤的责任主体切实承担土壤污染治理修复的经济责任；责任主体灭失或责任主体不明确的，</w:t>
      </w:r>
      <w:r>
        <w:rPr>
          <w:rFonts w:hint="eastAsia" w:ascii="仿宋_GB2312" w:hAnsi="仿宋_GB2312" w:eastAsia="仿宋_GB2312" w:cs="仿宋_GB2312"/>
          <w:color w:val="auto"/>
          <w:sz w:val="32"/>
          <w:szCs w:val="32"/>
          <w:lang w:eastAsia="zh-CN"/>
        </w:rPr>
        <w:t>由县级人民政府</w:t>
      </w:r>
      <w:r>
        <w:rPr>
          <w:rFonts w:hint="eastAsia" w:ascii="仿宋_GB2312" w:hAnsi="仿宋_GB2312" w:eastAsia="仿宋_GB2312" w:cs="仿宋_GB2312"/>
          <w:color w:val="auto"/>
          <w:sz w:val="32"/>
          <w:szCs w:val="32"/>
        </w:rPr>
        <w:t>依法承担相关责任。</w:t>
      </w:r>
    </w:p>
    <w:p>
      <w:pPr>
        <w:keepNext w:val="0"/>
        <w:keepLines w:val="0"/>
        <w:pageBreakBefore w:val="0"/>
        <w:tabs>
          <w:tab w:val="left" w:pos="587"/>
        </w:tabs>
        <w:kinsoku/>
        <w:wordWrap/>
        <w:overflowPunct/>
        <w:topLinePunct w:val="0"/>
        <w:autoSpaceDE/>
        <w:autoSpaceDN/>
        <w:bidi w:val="0"/>
        <w:adjustRightInd/>
        <w:spacing w:line="560" w:lineRule="exact"/>
        <w:textAlignment w:val="auto"/>
        <w:outlineLvl w:val="1"/>
        <w:rPr>
          <w:rFonts w:hint="eastAsia" w:ascii="楷体_GB2312" w:hAnsi="楷体_GB2312" w:eastAsia="楷体_GB2312" w:cs="楷体_GB2312"/>
          <w:b/>
          <w:bCs w:val="0"/>
          <w:color w:val="auto"/>
          <w:sz w:val="32"/>
          <w:szCs w:val="32"/>
        </w:rPr>
      </w:pPr>
      <w:r>
        <w:rPr>
          <w:rFonts w:hint="eastAsia" w:ascii="楷体_GB2312" w:hAnsi="楷体_GB2312" w:eastAsia="楷体_GB2312" w:cs="楷体_GB2312"/>
          <w:b/>
          <w:bCs w:val="0"/>
          <w:color w:val="auto"/>
          <w:sz w:val="32"/>
          <w:szCs w:val="32"/>
        </w:rPr>
        <w:t>（三）强化责任考核</w:t>
      </w:r>
    </w:p>
    <w:p>
      <w:pPr>
        <w:keepNext w:val="0"/>
        <w:keepLines w:val="0"/>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切实落实党政同责、一岗双责。将耕地污染源头管控相关工作任务纳入粮食安全、食品安全考核评议指标，将土壤污染防治相关工作任务纳入党政领导生态环境保护目标责任书，相关考核结果作为领导班子和领导干部综合考核评价的重要参考。</w:t>
      </w:r>
    </w:p>
    <w:p>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color w:val="auto"/>
          <w:sz w:val="32"/>
          <w:szCs w:val="32"/>
        </w:rPr>
      </w:pPr>
    </w:p>
    <w:p/>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4" w:left="1587" w:header="851" w:footer="992" w:gutter="0"/>
      <w:pgNumType w:fmt="decimal"/>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Batang">
    <w:panose1 w:val="02030600000101010101"/>
    <w:charset w:val="81"/>
    <w:family w:val="roman"/>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0" w:leftChars="0" w:firstLine="0" w:firstLineChars="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ind w:left="0" w:leftChars="0" w:firstLine="0" w:firstLineChars="0"/>
                          </w:pPr>
                          <w:r>
                            <w:rPr>
                              <w:rStyle w:val="6"/>
                              <w:rFonts w:hint="eastAsia" w:ascii="仿宋_GB2312" w:eastAsia="仿宋_GB2312"/>
                              <w:sz w:val="28"/>
                              <w:szCs w:val="28"/>
                            </w:rPr>
                            <w:t xml:space="preserve">— </w:t>
                          </w:r>
                          <w:r>
                            <w:rPr>
                              <w:rFonts w:ascii="Times New Roman" w:hAnsi="Times New Roman" w:eastAsia="仿宋_GB2312"/>
                              <w:sz w:val="28"/>
                              <w:szCs w:val="28"/>
                            </w:rPr>
                            <w:fldChar w:fldCharType="begin"/>
                          </w:r>
                          <w:r>
                            <w:rPr>
                              <w:rStyle w:val="6"/>
                              <w:rFonts w:ascii="Times New Roman" w:hAnsi="Times New Roman" w:eastAsia="仿宋_GB2312"/>
                              <w:sz w:val="28"/>
                              <w:szCs w:val="28"/>
                            </w:rPr>
                            <w:instrText xml:space="preserve">PAGE  </w:instrText>
                          </w:r>
                          <w:r>
                            <w:rPr>
                              <w:rFonts w:ascii="Times New Roman" w:hAnsi="Times New Roman" w:eastAsia="仿宋_GB2312"/>
                              <w:sz w:val="28"/>
                              <w:szCs w:val="28"/>
                            </w:rPr>
                            <w:fldChar w:fldCharType="separate"/>
                          </w:r>
                          <w:r>
                            <w:rPr>
                              <w:rStyle w:val="6"/>
                              <w:rFonts w:ascii="Times New Roman" w:hAnsi="Times New Roman" w:eastAsia="仿宋_GB2312"/>
                              <w:sz w:val="28"/>
                              <w:szCs w:val="28"/>
                            </w:rPr>
                            <w:t>1</w:t>
                          </w:r>
                          <w:r>
                            <w:rPr>
                              <w:rFonts w:ascii="Times New Roman" w:hAnsi="Times New Roman" w:eastAsia="仿宋_GB2312"/>
                              <w:sz w:val="28"/>
                              <w:szCs w:val="28"/>
                            </w:rPr>
                            <w:fldChar w:fldCharType="end"/>
                          </w:r>
                          <w:r>
                            <w:rPr>
                              <w:rStyle w:val="6"/>
                              <w:rFonts w:ascii="Times New Roman" w:hAnsi="Times New Roman" w:eastAsia="仿宋_GB2312"/>
                              <w:sz w:val="28"/>
                              <w:szCs w:val="28"/>
                            </w:rPr>
                            <w:t xml:space="preserve"> </w:t>
                          </w:r>
                          <w:r>
                            <w:rPr>
                              <w:rStyle w:val="6"/>
                              <w:rFonts w:hint="eastAsia" w:ascii="仿宋_GB2312" w:eastAsia="仿宋_GB2312"/>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ind w:left="0" w:leftChars="0" w:firstLine="0" w:firstLineChars="0"/>
                    </w:pPr>
                    <w:r>
                      <w:rPr>
                        <w:rStyle w:val="6"/>
                        <w:rFonts w:hint="eastAsia" w:ascii="仿宋_GB2312" w:eastAsia="仿宋_GB2312"/>
                        <w:sz w:val="28"/>
                        <w:szCs w:val="28"/>
                      </w:rPr>
                      <w:t xml:space="preserve">— </w:t>
                    </w:r>
                    <w:r>
                      <w:rPr>
                        <w:rFonts w:ascii="Times New Roman" w:hAnsi="Times New Roman" w:eastAsia="仿宋_GB2312"/>
                        <w:sz w:val="28"/>
                        <w:szCs w:val="28"/>
                      </w:rPr>
                      <w:fldChar w:fldCharType="begin"/>
                    </w:r>
                    <w:r>
                      <w:rPr>
                        <w:rStyle w:val="6"/>
                        <w:rFonts w:ascii="Times New Roman" w:hAnsi="Times New Roman" w:eastAsia="仿宋_GB2312"/>
                        <w:sz w:val="28"/>
                        <w:szCs w:val="28"/>
                      </w:rPr>
                      <w:instrText xml:space="preserve">PAGE  </w:instrText>
                    </w:r>
                    <w:r>
                      <w:rPr>
                        <w:rFonts w:ascii="Times New Roman" w:hAnsi="Times New Roman" w:eastAsia="仿宋_GB2312"/>
                        <w:sz w:val="28"/>
                        <w:szCs w:val="28"/>
                      </w:rPr>
                      <w:fldChar w:fldCharType="separate"/>
                    </w:r>
                    <w:r>
                      <w:rPr>
                        <w:rStyle w:val="6"/>
                        <w:rFonts w:ascii="Times New Roman" w:hAnsi="Times New Roman" w:eastAsia="仿宋_GB2312"/>
                        <w:sz w:val="28"/>
                        <w:szCs w:val="28"/>
                      </w:rPr>
                      <w:t>1</w:t>
                    </w:r>
                    <w:r>
                      <w:rPr>
                        <w:rFonts w:ascii="Times New Roman" w:hAnsi="Times New Roman" w:eastAsia="仿宋_GB2312"/>
                        <w:sz w:val="28"/>
                        <w:szCs w:val="28"/>
                      </w:rPr>
                      <w:fldChar w:fldCharType="end"/>
                    </w:r>
                    <w:r>
                      <w:rPr>
                        <w:rStyle w:val="6"/>
                        <w:rFonts w:ascii="Times New Roman" w:hAnsi="Times New Roman" w:eastAsia="仿宋_GB2312"/>
                        <w:sz w:val="28"/>
                        <w:szCs w:val="28"/>
                      </w:rPr>
                      <w:t xml:space="preserve"> </w:t>
                    </w:r>
                    <w:r>
                      <w:rPr>
                        <w:rStyle w:val="6"/>
                        <w:rFonts w:hint="eastAsia" w:ascii="仿宋_GB2312" w:eastAsia="仿宋_GB2312"/>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0" w:firstLineChars="0"/>
    </w:pPr>
    <w:r>
      <w:rPr>
        <w:rFonts w:hint="eastAsia" w:ascii="Batang" w:hAnsi="Batang" w:eastAsia="Batang"/>
        <w:sz w:val="28"/>
        <w:szCs w:val="28"/>
      </w:rPr>
      <w:t>－</w:t>
    </w:r>
    <w:r>
      <w:rPr>
        <w:rFonts w:ascii="Batang" w:hAnsi="Batang" w:eastAsia="Batang"/>
        <w:sz w:val="28"/>
        <w:szCs w:val="28"/>
      </w:rPr>
      <w:fldChar w:fldCharType="begin"/>
    </w:r>
    <w:r>
      <w:rPr>
        <w:rFonts w:ascii="Batang" w:hAnsi="Batang" w:eastAsia="Batang"/>
        <w:sz w:val="28"/>
        <w:szCs w:val="28"/>
      </w:rPr>
      <w:instrText xml:space="preserve"> PAGE   \* MERGEFORMAT </w:instrText>
    </w:r>
    <w:r>
      <w:rPr>
        <w:rFonts w:ascii="Batang" w:hAnsi="Batang" w:eastAsia="Batang"/>
        <w:sz w:val="28"/>
        <w:szCs w:val="28"/>
      </w:rPr>
      <w:fldChar w:fldCharType="separate"/>
    </w:r>
    <w:r>
      <w:rPr>
        <w:rFonts w:ascii="Batang" w:hAnsi="Batang" w:eastAsia="Batang"/>
        <w:sz w:val="28"/>
        <w:szCs w:val="28"/>
        <w:lang w:val="zh-CN"/>
      </w:rPr>
      <w:t>2</w:t>
    </w:r>
    <w:r>
      <w:rPr>
        <w:rFonts w:ascii="Batang" w:hAnsi="Batang" w:eastAsia="Batang"/>
        <w:sz w:val="28"/>
        <w:szCs w:val="28"/>
      </w:rPr>
      <w:fldChar w:fldCharType="end"/>
    </w:r>
    <w:r>
      <w:rPr>
        <w:rFonts w:hint="eastAsia" w:ascii="Batang" w:hAnsi="Batang" w:eastAsia="Batang"/>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91CFD2"/>
    <w:multiLevelType w:val="singleLevel"/>
    <w:tmpl w:val="D691CFD2"/>
    <w:lvl w:ilvl="0" w:tentative="0">
      <w:start w:val="1"/>
      <w:numFmt w:val="chineseCounting"/>
      <w:suff w:val="nothing"/>
      <w:lvlText w:val="%1、"/>
      <w:lvlJc w:val="left"/>
      <w:rPr>
        <w:rFonts w:hint="eastAsia"/>
      </w:rPr>
    </w:lvl>
  </w:abstractNum>
  <w:abstractNum w:abstractNumId="1">
    <w:nsid w:val="00000002"/>
    <w:multiLevelType w:val="singleLevel"/>
    <w:tmpl w:val="00000002"/>
    <w:lvl w:ilvl="0" w:tentative="0">
      <w:start w:val="1"/>
      <w:numFmt w:val="chineseCounting"/>
      <w:suff w:val="nothing"/>
      <w:lvlText w:val="（%1）"/>
      <w:lvlJc w:val="left"/>
      <w:pPr>
        <w:ind w:left="-1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904745"/>
    <w:rsid w:val="10227058"/>
    <w:rsid w:val="127A74F9"/>
    <w:rsid w:val="26913399"/>
    <w:rsid w:val="34E04BBB"/>
    <w:rsid w:val="39562756"/>
    <w:rsid w:val="5DB45681"/>
    <w:rsid w:val="5E904745"/>
    <w:rsid w:val="617718D0"/>
    <w:rsid w:val="77495D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60" w:lineRule="auto"/>
      <w:ind w:firstLine="640" w:firstLineChars="200"/>
      <w:jc w:val="both"/>
    </w:pPr>
    <w:rPr>
      <w:rFonts w:ascii="Times New Roman" w:hAnsi="Times New Roman" w:eastAsia="仿宋_GB2312" w:cs="Times New Roman"/>
      <w:sz w:val="32"/>
      <w:szCs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next w:val="1"/>
    <w:unhideWhenUsed/>
    <w:qFormat/>
    <w:uiPriority w:val="99"/>
    <w:pPr>
      <w:tabs>
        <w:tab w:val="center" w:pos="4153"/>
        <w:tab w:val="right" w:pos="8306"/>
      </w:tabs>
      <w:snapToGrid w:val="0"/>
      <w:spacing w:line="240" w:lineRule="auto"/>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2023-08-17T02:23:00Z</dcterms:created>
  <dc:creator>Administrator</dc:creator>
  <cp:lastModifiedBy>Administrator</cp:lastModifiedBy>
  <dcterms:modified xsi:type="dcterms:W3CDTF">2023-09-20T00:34:31Z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266D1B6B3C4A4FB4B8BF665CAD85A7D1</vt:lpwstr>
  </property>
</Properties>
</file>