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jc w:val="center"/>
        <w:rPr>
          <w:rFonts w:hint="eastAsia"/>
          <w:lang w:val="en-US" w:bidi="ar-SA"/>
        </w:rPr>
      </w:pPr>
      <w:r>
        <w:rPr>
          <w:rFonts w:hint="eastAsia" w:ascii="方正小标宋_GBK" w:eastAsia="方正小标宋_GBK"/>
          <w:w w:val="95"/>
          <w:sz w:val="84"/>
          <w:szCs w:val="84"/>
        </w:rPr>
        <w:t>广西壮族自治区柳州市柳城县龙头镇</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eastAsia="方正黑体_GBK"/>
          <w:sz w:val="48"/>
          <w:szCs w:val="48"/>
        </w:rPr>
      </w:pPr>
    </w:p>
    <w:p>
      <w:pPr>
        <w:pStyle w:val="2"/>
        <w:rPr>
          <w:rFonts w:eastAsia="方正黑体_GBK"/>
          <w:sz w:val="48"/>
          <w:szCs w:val="48"/>
        </w:rPr>
      </w:pPr>
    </w:p>
    <w:p>
      <w:pPr>
        <w:pStyle w:val="2"/>
        <w:jc w:val="both"/>
      </w:pPr>
    </w:p>
    <w:p/>
    <w:p>
      <w:pPr>
        <w:pStyle w:val="2"/>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pPr>
    </w:p>
    <w:sdt>
      <w:sdtPr>
        <w:rPr>
          <w:rFonts w:hint="eastAsia" w:ascii="方正小标宋简体" w:hAnsi="方正小标宋简体" w:eastAsia="方正小标宋简体" w:cs="方正小标宋简体"/>
          <w:kern w:val="2"/>
          <w:sz w:val="48"/>
          <w:szCs w:val="48"/>
          <w:lang w:val="en-US" w:eastAsia="zh-CN" w:bidi="ar-SA"/>
        </w:rPr>
        <w:id w:val="147480385"/>
        <w:docPartObj>
          <w:docPartGallery w:val="Table of Contents"/>
          <w:docPartUnique/>
        </w:docPartObj>
      </w:sdtPr>
      <w:sdtEndPr>
        <w:rPr>
          <w:rFonts w:hint="eastAsia"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4"/>
              <w:szCs w:val="44"/>
            </w:rPr>
            <w:t>目录</w:t>
          </w:r>
        </w:p>
        <w:p>
          <w:pPr>
            <w:pStyle w:val="12"/>
            <w:tabs>
              <w:tab w:val="right" w:leader="dot" w:pos="20968"/>
            </w:tabs>
            <w:rPr>
              <w:rFonts w:asciiTheme="minorHAnsi" w:hAnsiTheme="minorHAnsi"/>
              <w:sz w:val="22"/>
            </w:rPr>
          </w:pPr>
          <w:r>
            <w:fldChar w:fldCharType="begin"/>
          </w:r>
          <w:r>
            <w:instrText xml:space="preserve">TOC \o "1-3" \h \u </w:instrText>
          </w:r>
          <w:r>
            <w:fldChar w:fldCharType="separate"/>
          </w:r>
          <w:r>
            <w:fldChar w:fldCharType="begin"/>
          </w:r>
          <w:r>
            <w:rPr>
              <w:rStyle w:val="19"/>
            </w:rPr>
            <w:instrText xml:space="preserve"> HYPERLINK \l "_Toc256000001" </w:instrText>
          </w:r>
          <w:r>
            <w:fldChar w:fldCharType="separate"/>
          </w:r>
          <w:r>
            <w:rPr>
              <w:rStyle w:val="19"/>
            </w:rPr>
            <w:tab/>
          </w:r>
          <w:r>
            <w:fldChar w:fldCharType="begin"/>
          </w:r>
          <w:r>
            <w:rPr>
              <w:rStyle w:val="19"/>
            </w:rPr>
            <w:instrText xml:space="preserve"> PAGEREF _Toc256000001 \h </w:instrText>
          </w:r>
          <w:r>
            <w:fldChar w:fldCharType="separate"/>
          </w:r>
          <w:r>
            <w:rPr>
              <w:rStyle w:val="19"/>
              <w:rFonts w:hint="eastAsia" w:ascii="仿宋_GB2312" w:hAnsi="仿宋_GB2312" w:eastAsia="仿宋_GB2312" w:cs="仿宋_GB2312"/>
            </w:rPr>
            <w:t>基本履职事项清单</w:t>
          </w:r>
          <w:r>
            <w:rPr>
              <w:rStyle w:val="19"/>
            </w:rPr>
            <w:t>（</w:t>
          </w:r>
          <w:r>
            <w:rPr>
              <w:rStyle w:val="19"/>
              <w:rFonts w:hint="eastAsia"/>
              <w:lang w:val="en-US" w:eastAsia="zh-CN"/>
            </w:rPr>
            <w:t>112</w:t>
          </w:r>
          <w:r>
            <w:rPr>
              <w:rStyle w:val="19"/>
              <w:rFonts w:hint="eastAsia" w:ascii="仿宋_GB2312" w:hAnsi="仿宋_GB2312" w:eastAsia="仿宋_GB2312" w:cs="仿宋_GB2312"/>
            </w:rPr>
            <w:t>条</w:t>
          </w:r>
          <w:r>
            <w:rPr>
              <w:rStyle w:val="19"/>
            </w:rPr>
            <w:t>）</w:t>
          </w:r>
          <w:r>
            <w:rPr>
              <w:rStyle w:val="19"/>
            </w:rPr>
            <w:tab/>
          </w:r>
          <w:r>
            <w:rPr>
              <w:rStyle w:val="19"/>
            </w:rPr>
            <w:t>1</w:t>
          </w:r>
          <w:r>
            <w:fldChar w:fldCharType="end"/>
          </w:r>
          <w: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"_Toc256000002" </w:instrText>
          </w:r>
          <w:r>
            <w:fldChar w:fldCharType="separate"/>
          </w:r>
          <w:r>
            <w:rPr>
              <w:rStyle w:val="19"/>
            </w:rPr>
            <w:tab/>
          </w:r>
          <w:r>
            <w:fldChar w:fldCharType="begin"/>
          </w:r>
          <w:r>
            <w:rPr>
              <w:rStyle w:val="19"/>
            </w:rPr>
            <w:instrText xml:space="preserve"> PAGEREF _Toc256000002 \h </w:instrText>
          </w:r>
          <w:r>
            <w:fldChar w:fldCharType="separate"/>
          </w:r>
          <w:r>
            <w:rPr>
              <w:rStyle w:val="19"/>
              <w:rFonts w:hint="eastAsia" w:ascii="仿宋_GB2312" w:hAnsi="仿宋_GB2312" w:eastAsia="仿宋_GB2312" w:cs="仿宋_GB2312"/>
            </w:rPr>
            <w:t>配合履职事项清单</w:t>
          </w:r>
          <w:r>
            <w:rPr>
              <w:rStyle w:val="19"/>
            </w:rPr>
            <w:t>（</w:t>
          </w:r>
          <w:r>
            <w:rPr>
              <w:rStyle w:val="19"/>
              <w:rFonts w:hint="eastAsia"/>
              <w:lang w:val="en-US" w:eastAsia="zh-CN"/>
            </w:rPr>
            <w:t>93</w:t>
          </w:r>
          <w:r>
            <w:rPr>
              <w:rStyle w:val="19"/>
              <w:rFonts w:hint="eastAsia" w:ascii="仿宋_GB2312" w:hAnsi="仿宋_GB2312" w:eastAsia="仿宋_GB2312" w:cs="仿宋_GB2312"/>
            </w:rPr>
            <w:t>条</w:t>
          </w:r>
          <w:r>
            <w:rPr>
              <w:rStyle w:val="19"/>
            </w:rPr>
            <w:t>）</w:t>
          </w:r>
          <w:r>
            <w:rPr>
              <w:rStyle w:val="19"/>
            </w:rPr>
            <w:tab/>
          </w:r>
          <w:r>
            <w:fldChar w:fldCharType="end"/>
          </w:r>
          <w:r>
            <w:fldChar w:fldCharType="end"/>
          </w:r>
          <w:r>
            <w:rPr>
              <w:rFonts w:hint="eastAsia"/>
              <w:lang w:val="en-US" w:eastAsia="zh-CN"/>
            </w:rPr>
            <w:t>8</w:t>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（14</w:t>
          </w:r>
          <w:r>
            <w:rPr>
              <w:rStyle w:val="19"/>
              <w:rFonts w:hint="eastAsia"/>
              <w:lang w:val="en-US" w:eastAsia="zh-CN"/>
            </w:rPr>
            <w:t>1</w:t>
          </w:r>
          <w:r>
            <w:rPr>
              <w:rStyle w:val="19"/>
              <w:rFonts w:hint="eastAsia" w:ascii="仿宋_GB2312" w:hAnsi="仿宋_GB2312" w:eastAsia="仿宋_GB2312" w:cs="仿宋_GB2312"/>
            </w:rPr>
            <w:t>条</w:t>
          </w:r>
          <w:r>
            <w:rPr>
              <w:rStyle w:val="19"/>
            </w:rPr>
            <w:t>）</w:t>
          </w:r>
          <w:r>
            <w:rPr>
              <w:rStyle w:val="19"/>
            </w:rPr>
            <w:tab/>
          </w:r>
          <w:r>
            <w:rPr>
              <w:rStyle w:val="19"/>
              <w:rFonts w:hint="eastAsia"/>
              <w:lang w:val="en-US" w:eastAsia="zh-CN"/>
            </w:rPr>
            <w:t>3</w:t>
          </w:r>
          <w:r>
            <w:fldChar w:fldCharType="end"/>
          </w:r>
          <w:r>
            <w:fldChar w:fldCharType="end"/>
          </w:r>
          <w:r>
            <w:rPr>
              <w:rFonts w:hint="eastAsia"/>
              <w:lang w:val="en-US" w:eastAsia="zh-CN"/>
            </w:rPr>
            <w:t>2</w:t>
          </w:r>
        </w:p>
        <w:p>
          <w:pPr>
            <w:pStyle w:val="2"/>
            <w:rPr>
              <w:rFonts w:hint="eastAsia" w:ascii="宋体" w:hAnsi="宋体" w:eastAsia="宋体" w:cs="Times New Roman"/>
              <w:kern w:val="2"/>
              <w:sz w:val="52"/>
              <w:szCs w:val="52"/>
              <w:lang w:val="en-US" w:eastAsia="zh-CN" w:bidi="ar-SA"/>
            </w:rPr>
          </w:pPr>
          <w:r>
            <w:fldChar w:fldCharType="end"/>
          </w:r>
        </w:p>
      </w:sdtContent>
    </w:sdt>
    <w:p>
      <w:pPr>
        <w:rPr>
          <w:rFonts w:hint="eastAsia"/>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pStyle w:val="3"/>
        <w:bidi w:val="0"/>
        <w:jc w:val="center"/>
        <w:rPr>
          <w:rFonts w:hint="eastAsia" w:ascii="仿宋_GB2312" w:hAnsi="仿宋_GB2312" w:eastAsia="仿宋_GB2312" w:cs="仿宋_GB2312"/>
          <w:b w:val="0"/>
          <w:bCs w:val="0"/>
          <w:sz w:val="32"/>
          <w:szCs w:val="32"/>
        </w:rPr>
      </w:pPr>
      <w:bookmarkStart w:id="0" w:name="_Toc28914"/>
      <w:bookmarkStart w:id="1" w:name="_Toc25016"/>
    </w:p>
    <w:p>
      <w:pPr>
        <w:rPr>
          <w:rFonts w:hint="eastAsia" w:ascii="仿宋_GB2312" w:hAnsi="仿宋_GB2312" w:eastAsia="仿宋_GB2312" w:cs="仿宋_GB2312"/>
          <w:b w:val="0"/>
          <w:bCs w:val="0"/>
          <w:sz w:val="32"/>
          <w:szCs w:val="32"/>
        </w:rPr>
      </w:pPr>
    </w:p>
    <w:p>
      <w:pPr>
        <w:pStyle w:val="3"/>
        <w:bidi w:val="0"/>
        <w:jc w:val="both"/>
        <w:rPr>
          <w:rFonts w:hint="eastAsia" w:ascii="方正小标宋简体" w:hAnsi="方正小标宋简体" w:eastAsia="方正小标宋简体" w:cs="方正小标宋简体"/>
          <w:b w:val="0"/>
          <w:bCs w:val="0"/>
          <w:sz w:val="48"/>
          <w:szCs w:val="48"/>
        </w:rPr>
      </w:pPr>
    </w:p>
    <w:p>
      <w:pPr>
        <w:jc w:val="center"/>
        <w:rPr>
          <w:rFonts w:hint="eastAsia"/>
        </w:rPr>
      </w:pPr>
    </w:p>
    <w:p>
      <w:pPr>
        <w:pStyle w:val="3"/>
        <w:bidi w:val="0"/>
        <w:jc w:val="center"/>
        <w:rPr>
          <w:rFonts w:hint="eastAsia" w:ascii="方正小标宋简体" w:hAnsi="方正小标宋简体" w:eastAsia="方正小标宋简体" w:cs="方正小标宋简体"/>
          <w:b w:val="0"/>
          <w:bCs w:val="0"/>
          <w:sz w:val="44"/>
          <w:szCs w:val="44"/>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3"/>
        <w:bidi w:val="0"/>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b w:val="0"/>
          <w:bCs w:val="0"/>
          <w:sz w:val="44"/>
          <w:szCs w:val="44"/>
        </w:rPr>
        <w:t>基本履职事项清单</w:t>
      </w:r>
      <w:bookmarkEnd w:id="0"/>
      <w:bookmarkEnd w:id="1"/>
    </w:p>
    <w:tbl>
      <w:tblPr>
        <w:tblStyle w:val="15"/>
        <w:tblW w:w="4760"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835"/>
        <w:gridCol w:w="19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52" w:hRule="atLeast"/>
          <w:tblHeader/>
        </w:trPr>
        <w:tc>
          <w:tcPr>
            <w:tcW w:w="208" w:type="pct"/>
            <w:tcBorders>
              <w:righ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4791"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kern w:val="0"/>
                <w:sz w:val="28"/>
                <w:szCs w:val="28"/>
                <w:lang w:eastAsia="zh-CN"/>
              </w:rPr>
            </w:pPr>
            <w:r>
              <w:rPr>
                <w:rFonts w:hint="eastAsia" w:ascii="黑体" w:hAnsi="黑体" w:eastAsia="黑体" w:cs="黑体"/>
                <w:kern w:val="0"/>
                <w:sz w:val="28"/>
                <w:szCs w:val="28"/>
                <w:lang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eastAsia"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一、党的建设事项类别（22项）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学习贯彻落实习近平新时代中国特色社会主义思想和习近平总书记关于广西工作论述的重要要求，宣传和贯彻执行党的路线方针政策，加强政治建设，坚定拥护</w:t>
            </w:r>
            <w:r>
              <w:rPr>
                <w:rFonts w:hint="eastAsia" w:ascii="仿宋_GB2312" w:hAnsi="仿宋_GB2312" w:eastAsia="仿宋_GB2312" w:cs="仿宋_GB2312"/>
                <w:kern w:val="0"/>
                <w:sz w:val="24"/>
                <w:szCs w:val="24"/>
                <w:lang w:val="en-US" w:eastAsia="zh-CN"/>
              </w:rPr>
              <w:t>“</w:t>
            </w:r>
            <w:r>
              <w:rPr>
                <w:rFonts w:hint="default" w:ascii="Times New Roman" w:hAnsi="Times New Roman" w:eastAsia="仿宋_GB2312" w:cs="Times New Roman"/>
                <w:kern w:val="0"/>
                <w:sz w:val="24"/>
                <w:szCs w:val="24"/>
                <w:lang w:val="en-US" w:eastAsia="zh-CN"/>
              </w:rPr>
              <w:t>两个确立</w:t>
            </w:r>
            <w:r>
              <w:rPr>
                <w:rFonts w:hint="eastAsia" w:ascii="仿宋_GB2312" w:hAnsi="仿宋_GB2312" w:eastAsia="仿宋_GB2312" w:cs="仿宋_GB2312"/>
                <w:kern w:val="0"/>
                <w:sz w:val="24"/>
                <w:szCs w:val="24"/>
                <w:lang w:val="en-US" w:eastAsia="zh-CN"/>
              </w:rPr>
              <w:t>”</w:t>
            </w:r>
            <w:r>
              <w:rPr>
                <w:rFonts w:hint="default" w:ascii="Times New Roman" w:hAnsi="Times New Roman" w:eastAsia="仿宋_GB2312" w:cs="Times New Roman"/>
                <w:kern w:val="0"/>
                <w:sz w:val="24"/>
                <w:szCs w:val="24"/>
                <w:lang w:val="en-US" w:eastAsia="zh-CN"/>
              </w:rPr>
              <w:t>、坚决做到</w:t>
            </w:r>
            <w:r>
              <w:rPr>
                <w:rFonts w:hint="eastAsia" w:ascii="仿宋_GB2312" w:hAnsi="仿宋_GB2312" w:eastAsia="仿宋_GB2312" w:cs="仿宋_GB2312"/>
                <w:kern w:val="0"/>
                <w:sz w:val="24"/>
                <w:szCs w:val="24"/>
                <w:lang w:val="en-US" w:eastAsia="zh-CN"/>
              </w:rPr>
              <w:t>“</w:t>
            </w:r>
            <w:r>
              <w:rPr>
                <w:rFonts w:hint="default" w:ascii="Times New Roman" w:hAnsi="Times New Roman" w:eastAsia="仿宋_GB2312" w:cs="Times New Roman"/>
                <w:kern w:val="0"/>
                <w:sz w:val="24"/>
                <w:szCs w:val="24"/>
                <w:lang w:val="en-US" w:eastAsia="zh-CN"/>
              </w:rPr>
              <w:t>两个维护</w:t>
            </w:r>
            <w:r>
              <w:rPr>
                <w:rFonts w:hint="eastAsia" w:ascii="仿宋_GB2312" w:hAnsi="仿宋_GB2312" w:eastAsia="仿宋_GB2312" w:cs="仿宋_GB2312"/>
                <w:kern w:val="0"/>
                <w:sz w:val="24"/>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推进清廉龙头建设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坚持党管武装，抓好征兵、民兵工作以及国防教育和基层武</w:t>
            </w:r>
            <w:r>
              <w:rPr>
                <w:rFonts w:hint="eastAsia" w:ascii="仿宋_GB2312" w:hAnsi="仿宋_GB2312" w:eastAsia="仿宋_GB2312" w:cs="仿宋_GB2312"/>
                <w:kern w:val="0"/>
                <w:sz w:val="24"/>
                <w:szCs w:val="24"/>
                <w:lang w:val="en-US" w:eastAsia="zh-CN"/>
              </w:rPr>
              <w:t>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开展党建引领，深化“龙行先锋•头雁领航”工作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落实民意征集共商机制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jc w:val="left"/>
              <w:textAlignment w:val="center"/>
              <w:rPr>
                <w:rFonts w:hint="eastAsia" w:ascii="Times New Roman" w:hAnsi="Times New Roman" w:eastAsia="仿宋_GB2312" w:cs="Times New Roman"/>
                <w:kern w:val="0"/>
                <w:sz w:val="24"/>
                <w:szCs w:val="24"/>
                <w:lang w:val="en-US" w:eastAsia="zh-CN"/>
              </w:rPr>
            </w:pPr>
            <w:r>
              <w:rPr>
                <w:rFonts w:hint="eastAsia" w:ascii="黑体" w:hAnsi="黑体" w:eastAsia="黑体" w:cs="黑体"/>
                <w:b w:val="0"/>
                <w:bCs w:val="0"/>
                <w:kern w:val="0"/>
                <w:sz w:val="24"/>
                <w:szCs w:val="24"/>
                <w:lang w:eastAsia="zh-CN"/>
              </w:rPr>
              <w:t>二、</w:t>
            </w:r>
            <w:r>
              <w:rPr>
                <w:rFonts w:hint="eastAsia" w:ascii="黑体" w:hAnsi="黑体" w:eastAsia="黑体" w:cs="黑体"/>
                <w:b w:val="0"/>
                <w:bCs w:val="0"/>
                <w:kern w:val="0"/>
                <w:sz w:val="24"/>
                <w:szCs w:val="24"/>
              </w:rPr>
              <w:t>经济</w:t>
            </w:r>
            <w:r>
              <w:rPr>
                <w:rFonts w:hint="eastAsia" w:ascii="黑体" w:hAnsi="黑体" w:eastAsia="黑体" w:cs="黑体"/>
                <w:b w:val="0"/>
                <w:bCs w:val="0"/>
                <w:kern w:val="0"/>
                <w:sz w:val="24"/>
                <w:szCs w:val="24"/>
                <w:lang w:eastAsia="zh-CN"/>
              </w:rPr>
              <w:t>发展事项类别（</w:t>
            </w:r>
            <w:r>
              <w:rPr>
                <w:rFonts w:hint="eastAsia" w:ascii="黑体" w:hAnsi="黑体" w:eastAsia="黑体" w:cs="黑体"/>
                <w:b w:val="0"/>
                <w:bCs w:val="0"/>
                <w:kern w:val="0"/>
                <w:sz w:val="24"/>
                <w:szCs w:val="24"/>
                <w:lang w:val="en-US" w:eastAsia="zh-CN"/>
              </w:rPr>
              <w:t>7项</w:t>
            </w:r>
            <w:r>
              <w:rPr>
                <w:rFonts w:hint="eastAsia" w:ascii="黑体" w:hAnsi="黑体" w:eastAsia="黑体" w:cs="黑体"/>
                <w:b w:val="0"/>
                <w:bCs w:val="0"/>
                <w:kern w:val="0"/>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推动龙头、伏华区域一体化发展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推进“庭院经济”</w:t>
            </w:r>
            <w:r>
              <w:rPr>
                <w:rFonts w:hint="default" w:ascii="Times New Roman" w:hAnsi="Times New Roman" w:eastAsia="仿宋_GB2312" w:cs="Times New Roman"/>
                <w:kern w:val="0"/>
                <w:sz w:val="24"/>
                <w:szCs w:val="24"/>
                <w:lang w:val="en-US" w:eastAsia="zh-CN"/>
              </w:rPr>
              <w:t>、肉鸡产业循环经济发展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w:t>
            </w:r>
            <w:r>
              <w:rPr>
                <w:rFonts w:hint="eastAsia" w:ascii="仿宋_GB2312" w:hAnsi="仿宋_GB2312" w:eastAsia="仿宋_GB2312" w:cs="仿宋_GB2312"/>
                <w:kern w:val="0"/>
                <w:sz w:val="24"/>
                <w:szCs w:val="24"/>
                <w:lang w:val="en-US" w:eastAsia="zh-CN"/>
              </w:rPr>
              <w:t>码头村糖料蔗“四联管”宜机化基地建设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三、民生服务事项类别（18项）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负责城乡居民基本医疗保险 、灵活就业人员职工医疗保险政策宣传</w:t>
            </w:r>
            <w:r>
              <w:rPr>
                <w:rFonts w:hint="eastAsia"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w:t>
            </w:r>
            <w:r>
              <w:rPr>
                <w:rFonts w:hint="eastAsia" w:eastAsia="仿宋_GB2312" w:cs="Times New Roman"/>
                <w:kern w:val="0"/>
                <w:sz w:val="24"/>
                <w:szCs w:val="24"/>
                <w:lang w:val="en-US" w:eastAsia="zh-CN"/>
              </w:rPr>
              <w:t>本镇</w:t>
            </w:r>
            <w:r>
              <w:rPr>
                <w:rFonts w:hint="default" w:ascii="Times New Roman" w:hAnsi="Times New Roman" w:eastAsia="仿宋_GB2312" w:cs="Times New Roman"/>
                <w:kern w:val="0"/>
                <w:sz w:val="24"/>
                <w:szCs w:val="24"/>
                <w:lang w:val="en-US" w:eastAsia="zh-CN"/>
              </w:rPr>
              <w:t>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开展未成年人保护</w:t>
            </w:r>
            <w:r>
              <w:rPr>
                <w:rFonts w:hint="eastAsia" w:eastAsia="仿宋_GB2312" w:cs="Times New Roman"/>
                <w:kern w:val="0"/>
                <w:sz w:val="24"/>
                <w:szCs w:val="24"/>
                <w:lang w:val="en-US" w:eastAsia="zh-CN"/>
              </w:rPr>
              <w:t>法律法规政策</w:t>
            </w:r>
            <w:r>
              <w:rPr>
                <w:rFonts w:hint="default" w:ascii="Times New Roman" w:hAnsi="Times New Roman" w:eastAsia="仿宋_GB2312" w:cs="Times New Roman"/>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开展对未达到登记条件的社区社会组织</w:t>
            </w:r>
            <w:r>
              <w:rPr>
                <w:rFonts w:hint="eastAsia" w:eastAsia="仿宋_GB2312" w:cs="Times New Roman"/>
                <w:kern w:val="0"/>
                <w:sz w:val="24"/>
                <w:szCs w:val="24"/>
                <w:lang w:val="en-US" w:eastAsia="zh-CN"/>
              </w:rPr>
              <w:t>的</w:t>
            </w:r>
            <w:r>
              <w:rPr>
                <w:rFonts w:hint="default" w:ascii="Times New Roman" w:hAnsi="Times New Roman" w:eastAsia="仿宋_GB2312" w:cs="Times New Roman"/>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开展“侨心桥·惠侨行”服务工作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四、平安法治事项类别（9项）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开展社会治安风险防控、</w:t>
            </w:r>
            <w:r>
              <w:rPr>
                <w:rFonts w:hint="eastAsia" w:ascii="仿宋_GB2312" w:hAnsi="仿宋_GB2312" w:eastAsia="仿宋_GB2312" w:cs="仿宋_GB2312"/>
                <w:kern w:val="0"/>
                <w:sz w:val="24"/>
                <w:szCs w:val="24"/>
                <w:lang w:val="en-US" w:eastAsia="zh-CN"/>
              </w:rPr>
              <w:t>“多网合一”</w:t>
            </w:r>
            <w:r>
              <w:rPr>
                <w:rFonts w:hint="default" w:ascii="Times New Roman" w:hAnsi="Times New Roman" w:eastAsia="仿宋_GB2312" w:cs="Times New Roman"/>
                <w:kern w:val="0"/>
                <w:sz w:val="24"/>
                <w:szCs w:val="24"/>
                <w:lang w:val="en-US" w:eastAsia="zh-CN"/>
              </w:rPr>
              <w:t>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坚持和发展新时代“枫桥经验”，开展社会矛盾和纠纷排查化解、风险预警及源头防范等工作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五、乡村振兴事项类别（15项）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default" w:ascii="Times New Roman" w:hAnsi="Times New Roman" w:eastAsia="仿宋_GB2312" w:cs="Times New Roman"/>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大力发展青花梨等特色农业产业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八、文化和旅游事项类别（7项）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建设“滨江小镇”精品旅游路线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w:t>
            </w:r>
            <w:r>
              <w:rPr>
                <w:rFonts w:hint="eastAsia" w:ascii="仿宋_GB2312" w:hAnsi="仿宋_GB2312" w:eastAsia="仿宋_GB2312" w:cs="仿宋_GB2312"/>
                <w:kern w:val="0"/>
                <w:sz w:val="24"/>
                <w:szCs w:val="24"/>
                <w:lang w:val="en-US" w:eastAsia="zh-CN"/>
              </w:rPr>
              <w:t>“</w:t>
            </w:r>
            <w:r>
              <w:rPr>
                <w:rFonts w:hint="default" w:ascii="Times New Roman" w:hAnsi="Times New Roman" w:eastAsia="仿宋_GB2312" w:cs="Times New Roman"/>
                <w:kern w:val="0"/>
                <w:sz w:val="24"/>
                <w:szCs w:val="24"/>
                <w:lang w:val="en-US" w:eastAsia="zh-CN"/>
              </w:rPr>
              <w:t>0</w:t>
            </w:r>
            <w:r>
              <w:rPr>
                <w:rFonts w:hint="eastAsia" w:ascii="仿宋_GB2312" w:hAnsi="仿宋_GB2312" w:eastAsia="仿宋_GB2312" w:cs="仿宋_GB2312"/>
                <w:kern w:val="0"/>
                <w:sz w:val="24"/>
                <w:szCs w:val="24"/>
                <w:lang w:val="en-US" w:eastAsia="zh-CN"/>
              </w:rPr>
              <w:t>”</w:t>
            </w:r>
            <w:r>
              <w:rPr>
                <w:rFonts w:hint="default" w:ascii="Times New Roman" w:hAnsi="Times New Roman" w:eastAsia="仿宋_GB2312" w:cs="Times New Roman"/>
                <w:kern w:val="0"/>
                <w:sz w:val="24"/>
                <w:szCs w:val="24"/>
                <w:lang w:val="en-US" w:eastAsia="zh-CN"/>
              </w:rPr>
              <w:t>盐糖酸等非物质文化遗产的保护和传承工作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w:t>
            </w:r>
            <w:r>
              <w:rPr>
                <w:rFonts w:hint="eastAsia" w:ascii="仿宋_GB2312" w:hAnsi="仿宋_GB2312" w:eastAsia="仿宋_GB2312" w:cs="仿宋_GB2312"/>
                <w:kern w:val="0"/>
                <w:sz w:val="24"/>
                <w:szCs w:val="24"/>
                <w:lang w:val="en-US" w:eastAsia="zh-CN"/>
              </w:rPr>
              <w:t>展“一报一碑一廉两馆”红色文化开发保护利用工作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仿宋_GB2312" w:hAnsi="仿宋_GB2312" w:eastAsia="仿宋_GB2312" w:cs="仿宋_GB2312"/>
                <w:kern w:val="0"/>
                <w:sz w:val="24"/>
                <w:szCs w:val="24"/>
                <w:lang w:val="en-US" w:eastAsia="zh-CN"/>
              </w:rPr>
              <w:t>推进“红色文化+茶侨文化”、“产学研游”深度融合发展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208" w:type="pct"/>
            <w:noWrap w:val="0"/>
            <w:vAlign w:val="center"/>
          </w:tcPr>
          <w:p>
            <w:pPr>
              <w:numPr>
                <w:ilvl w:val="0"/>
                <w:numId w:val="2"/>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kern w:val="0"/>
                <w:sz w:val="24"/>
                <w:szCs w:val="24"/>
              </w:rPr>
            </w:pPr>
          </w:p>
        </w:tc>
        <w:tc>
          <w:tcPr>
            <w:tcW w:w="4791"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开展村（社区）财务审计和村（社区）</w:t>
            </w:r>
            <w:r>
              <w:rPr>
                <w:rFonts w:hint="eastAsia" w:ascii="仿宋_GB2312" w:hAnsi="仿宋_GB2312" w:eastAsia="仿宋_GB2312" w:cs="仿宋_GB2312"/>
                <w:kern w:val="0"/>
                <w:sz w:val="24"/>
                <w:szCs w:val="24"/>
                <w:lang w:val="en-US" w:eastAsia="zh-CN"/>
              </w:rPr>
              <w:t>“两委”班</w:t>
            </w:r>
            <w:r>
              <w:rPr>
                <w:rFonts w:hint="default" w:ascii="Times New Roman" w:hAnsi="Times New Roman" w:eastAsia="仿宋_GB2312" w:cs="Times New Roman"/>
                <w:kern w:val="0"/>
                <w:sz w:val="24"/>
                <w:szCs w:val="24"/>
                <w:lang w:val="en-US" w:eastAsia="zh-CN"/>
              </w:rPr>
              <w:t>子成员任期经济责任审计工作</w:t>
            </w:r>
          </w:p>
        </w:tc>
      </w:tr>
    </w:tbl>
    <w:p>
      <w:pPr>
        <w:spacing w:line="570" w:lineRule="exact"/>
        <w:jc w:val="center"/>
        <w:rPr>
          <w:rFonts w:ascii="方正小标宋_GBK" w:hAnsi="宋体" w:eastAsia="方正小标宋_GBK"/>
          <w:sz w:val="44"/>
          <w:szCs w:val="44"/>
        </w:rPr>
      </w:pPr>
      <w:r>
        <w:rPr>
          <w:rFonts w:ascii="方正仿宋_GBK" w:hAnsi="宋体"/>
        </w:rPr>
        <w:br w:type="page"/>
      </w:r>
    </w:p>
    <w:p>
      <w:pPr>
        <w:pStyle w:val="3"/>
        <w:bidi w:val="0"/>
        <w:jc w:val="center"/>
        <w:rPr>
          <w:rFonts w:hint="default" w:ascii="方正小标宋简体" w:hAnsi="方正小标宋简体" w:eastAsia="方正小标宋简体" w:cs="方正小标宋简体"/>
          <w:kern w:val="0"/>
          <w:sz w:val="48"/>
          <w:szCs w:val="48"/>
          <w:lang w:val="en-US" w:eastAsia="zh-CN"/>
        </w:rPr>
      </w:pPr>
      <w:bookmarkStart w:id="2" w:name="_Toc5739"/>
      <w:bookmarkStart w:id="3" w:name="_Toc12624"/>
      <w:r>
        <w:rPr>
          <w:rFonts w:hint="eastAsia" w:ascii="方正小标宋简体" w:hAnsi="方正小标宋简体" w:eastAsia="方正小标宋简体" w:cs="方正小标宋简体"/>
          <w:b w:val="0"/>
          <w:bCs w:val="0"/>
          <w:sz w:val="44"/>
          <w:szCs w:val="44"/>
        </w:rPr>
        <w:t>配合履职事项清单</w:t>
      </w:r>
      <w:bookmarkEnd w:id="2"/>
      <w:r>
        <w:rPr>
          <w:rFonts w:hint="eastAsia" w:ascii="方正小标宋简体" w:hAnsi="方正小标宋简体" w:eastAsia="方正小标宋简体" w:cs="方正小标宋简体"/>
          <w:b w:val="0"/>
          <w:bCs w:val="0"/>
          <w:sz w:val="48"/>
          <w:szCs w:val="48"/>
          <w:lang w:val="en-US" w:eastAsia="zh-CN"/>
        </w:rPr>
        <w:t xml:space="preserve">  </w:t>
      </w:r>
    </w:p>
    <w:tbl>
      <w:tblPr>
        <w:tblStyle w:val="15"/>
        <w:tblW w:w="4781" w:type="pct"/>
        <w:jc w:val="center"/>
        <w:tblLayout w:type="autofit"/>
        <w:tblCellMar>
          <w:top w:w="28" w:type="dxa"/>
          <w:left w:w="57" w:type="dxa"/>
          <w:bottom w:w="28" w:type="dxa"/>
          <w:right w:w="57" w:type="dxa"/>
        </w:tblCellMar>
      </w:tblPr>
      <w:tblGrid>
        <w:gridCol w:w="762"/>
        <w:gridCol w:w="2299"/>
        <w:gridCol w:w="2944"/>
        <w:gridCol w:w="8446"/>
        <w:gridCol w:w="5716"/>
      </w:tblGrid>
      <w:tr>
        <w:tblPrEx>
          <w:tblCellMar>
            <w:top w:w="28" w:type="dxa"/>
            <w:left w:w="57" w:type="dxa"/>
            <w:bottom w:w="28" w:type="dxa"/>
            <w:right w:w="57" w:type="dxa"/>
          </w:tblCellMar>
        </w:tblPrEx>
        <w:trPr>
          <w:cantSplit/>
          <w:trHeight w:val="567" w:hRule="atLeast"/>
          <w:tblHeader/>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570"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事项名称</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eastAsia="zh-CN"/>
              </w:rPr>
            </w:pPr>
            <w:r>
              <w:rPr>
                <w:rFonts w:hint="eastAsia" w:ascii="黑体" w:hAnsi="黑体" w:eastAsia="黑体" w:cs="黑体"/>
                <w:color w:val="auto"/>
                <w:kern w:val="0"/>
                <w:sz w:val="28"/>
                <w:szCs w:val="28"/>
                <w:lang w:eastAsia="zh-CN" w:bidi="ar"/>
              </w:rPr>
              <w:t>对应上级部门</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694"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一、</w:t>
            </w:r>
            <w:r>
              <w:rPr>
                <w:rFonts w:hint="eastAsia" w:ascii="黑体" w:hAnsi="黑体" w:eastAsia="黑体" w:cs="黑体"/>
                <w:kern w:val="0"/>
                <w:sz w:val="24"/>
                <w:szCs w:val="24"/>
                <w:lang w:bidi="ar"/>
              </w:rPr>
              <w:t>党的建设</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11项）</w:t>
            </w:r>
          </w:p>
        </w:tc>
      </w:tr>
      <w:tr>
        <w:tblPrEx>
          <w:tblCellMar>
            <w:top w:w="28" w:type="dxa"/>
            <w:left w:w="57" w:type="dxa"/>
            <w:bottom w:w="28" w:type="dxa"/>
            <w:right w:w="57" w:type="dxa"/>
          </w:tblCellMar>
        </w:tblPrEx>
        <w:trPr>
          <w:cantSplit/>
          <w:trHeight w:val="366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仿宋_GB2312" w:hAnsi="仿宋_GB2312"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仿宋_GB2312" w:hAnsi="仿宋_GB2312" w:eastAsia="仿宋_GB2312" w:cs="仿宋_GB2312"/>
                <w:kern w:val="0"/>
                <w:sz w:val="24"/>
                <w:szCs w:val="24"/>
                <w:lang w:val="en-US" w:eastAsia="zh-CN" w:bidi="ar"/>
              </w:rPr>
              <w:t>颁发“光荣在党50年”纪念章工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仿宋_GB2312" w:hAnsi="仿宋_GB2312" w:eastAsia="仿宋_GB2312" w:cs="仿宋_GB2312"/>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仿宋_GB2312" w:hAnsi="仿宋_GB2312" w:eastAsia="仿宋_GB2312" w:cs="仿宋_GB2312"/>
                <w:b/>
                <w:bCs/>
                <w:kern w:val="0"/>
                <w:sz w:val="24"/>
                <w:szCs w:val="24"/>
                <w:lang w:val="en-US" w:eastAsia="zh-CN" w:bidi="ar"/>
              </w:rPr>
              <w:t>部：</w:t>
            </w:r>
            <w:r>
              <w:rPr>
                <w:rFonts w:hint="eastAsia" w:ascii="仿宋_GB2312" w:hAnsi="仿宋_GB2312"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281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仿宋_GB2312" w:hAnsi="仿宋_GB2312" w:eastAsia="仿宋_GB2312" w:cs="仿宋_GB2312"/>
                <w:kern w:val="0"/>
                <w:sz w:val="24"/>
                <w:szCs w:val="24"/>
                <w:lang w:val="en-US" w:eastAsia="zh-CN" w:bidi="ar"/>
              </w:rPr>
              <w:t>“两代表一委员”</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343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181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3043"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315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3703"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208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开展巡视</w:t>
            </w:r>
            <w:r>
              <w:rPr>
                <w:rFonts w:hint="eastAsia"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290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cantSplit/>
          <w:trHeight w:val="2365" w:hRule="atLeast"/>
          <w:jc w:val="center"/>
        </w:trPr>
        <w:tc>
          <w:tcPr>
            <w:tcW w:w="189" w:type="pct"/>
            <w:tcBorders>
              <w:top w:val="single" w:color="000000" w:sz="4" w:space="0"/>
              <w:left w:val="single" w:color="000000" w:sz="4" w:space="0"/>
              <w:bottom w:val="single" w:color="000000" w:sz="4" w:space="0"/>
              <w:right w:val="single" w:color="auto"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组织县人大代表（龙头团）参加县人民代表大会及开展调研、视察、实践等工作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（3）做好大会期间龙头团的会务和联络工作；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组织县人大代表（龙头团）调研视察等工作。</w:t>
            </w:r>
          </w:p>
        </w:tc>
      </w:tr>
      <w:tr>
        <w:tblPrEx>
          <w:tblCellMar>
            <w:top w:w="28" w:type="dxa"/>
            <w:left w:w="57" w:type="dxa"/>
            <w:bottom w:w="28" w:type="dxa"/>
            <w:right w:w="57" w:type="dxa"/>
          </w:tblCellMar>
        </w:tblPrEx>
        <w:trPr>
          <w:cantSplit/>
          <w:trHeight w:val="64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二、平安法治事项类别（2项）</w:t>
            </w:r>
          </w:p>
        </w:tc>
      </w:tr>
      <w:tr>
        <w:tblPrEx>
          <w:tblCellMar>
            <w:top w:w="28" w:type="dxa"/>
            <w:left w:w="57" w:type="dxa"/>
            <w:bottom w:w="28" w:type="dxa"/>
            <w:right w:w="57" w:type="dxa"/>
          </w:tblCellMar>
        </w:tblPrEx>
        <w:trPr>
          <w:cantSplit/>
          <w:trHeight w:val="227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3454" w:hRule="atLeast"/>
          <w:jc w:val="center"/>
        </w:trPr>
        <w:tc>
          <w:tcPr>
            <w:tcW w:w="189" w:type="pct"/>
            <w:tcBorders>
              <w:top w:val="single" w:color="000000" w:sz="4" w:space="0"/>
              <w:left w:val="single" w:color="000000" w:sz="4" w:space="0"/>
              <w:bottom w:val="single" w:color="000000" w:sz="4" w:space="0"/>
              <w:right w:val="single" w:color="auto"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开展基层法律服务工作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82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三、乡村振兴事项类别（6项）</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做好动物疫病预防控制工作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412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做好农村供水用水管理工作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204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开展基层科普工作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203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开展农机管理服务工作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264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开展农业保险工作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185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做好农村产权流转交易服务工作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88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四、</w:t>
            </w:r>
            <w:r>
              <w:rPr>
                <w:rFonts w:hint="eastAsia" w:ascii="黑体" w:hAnsi="黑体" w:eastAsia="黑体" w:cs="黑体"/>
                <w:kern w:val="0"/>
                <w:sz w:val="24"/>
                <w:szCs w:val="24"/>
                <w:lang w:bidi="ar"/>
              </w:rPr>
              <w:t>社会管理</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16项）</w:t>
            </w:r>
          </w:p>
        </w:tc>
      </w:tr>
      <w:tr>
        <w:tblPrEx>
          <w:tblCellMar>
            <w:top w:w="28" w:type="dxa"/>
            <w:left w:w="57" w:type="dxa"/>
            <w:bottom w:w="28" w:type="dxa"/>
            <w:right w:w="57" w:type="dxa"/>
          </w:tblCellMar>
        </w:tblPrEx>
        <w:trPr>
          <w:cantSplit/>
          <w:trHeight w:val="3343"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开展防范和处置非法集资工作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286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流动人口服务管理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181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开展殡葬管理工作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249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行政复议</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（3）明确法律顾问，负责本</w:t>
            </w:r>
            <w:r>
              <w:rPr>
                <w:rFonts w:hint="eastAsia" w:eastAsia="仿宋_GB2312" w:cs="Times New Roman"/>
                <w:kern w:val="0"/>
                <w:sz w:val="24"/>
                <w:szCs w:val="24"/>
                <w:lang w:val="en-US" w:eastAsia="zh-CN" w:bidi="ar"/>
              </w:rPr>
              <w:t>镇</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375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落实审计监督工作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4682"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开展社会保险经办服务</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388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258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开展卫星地面接收设施管理工作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403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开展物业监督管理工作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184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开展烈士纪念设施管理和维护工作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退役军人局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（1）负责烈士纪念设施管护修缮；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（2）负责烈士纪念设施管护人员队伍建设。</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（1）开展烈士纪念设施保护宣传；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（2）参与烈士纪念设施巡查清理、维护祭扫等工作。</w:t>
            </w:r>
          </w:p>
        </w:tc>
      </w:tr>
      <w:tr>
        <w:tblPrEx>
          <w:tblCellMar>
            <w:top w:w="28" w:type="dxa"/>
            <w:left w:w="57" w:type="dxa"/>
            <w:bottom w:w="28" w:type="dxa"/>
            <w:right w:w="57" w:type="dxa"/>
          </w:tblCellMar>
        </w:tblPrEx>
        <w:trPr>
          <w:cantSplit/>
          <w:trHeight w:val="360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开展行政执法监督工作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2783"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开展油气长输管道保护相关工作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cantSplit/>
          <w:trHeight w:val="187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223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敬老院运营管理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（2）协助做好本镇敬老院日常运营工作；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270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畜牧水产养殖兽医技术推广工作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（2）对本镇养殖户进行技术指导与服务，了解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964"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CellMar>
            <w:top w:w="28" w:type="dxa"/>
            <w:left w:w="57" w:type="dxa"/>
            <w:bottom w:w="28" w:type="dxa"/>
            <w:right w:w="57" w:type="dxa"/>
          </w:tblCellMar>
        </w:tblPrEx>
        <w:trPr>
          <w:cantSplit/>
          <w:trHeight w:val="323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做好无障碍环境设施建设工作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175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抓好学前教育发展和管理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299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250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开展追回违规领取救助金工作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467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落实惠农财政补贴审批发放</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204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农村特困人员供养对象集中供养</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423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开展水库移民后期扶持工作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（1）建立本镇</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71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六、自然资源事项类别（5项）</w:t>
            </w:r>
          </w:p>
        </w:tc>
      </w:tr>
      <w:tr>
        <w:tblPrEx>
          <w:tblCellMar>
            <w:top w:w="28" w:type="dxa"/>
            <w:left w:w="57" w:type="dxa"/>
            <w:bottom w:w="28" w:type="dxa"/>
            <w:right w:w="57" w:type="dxa"/>
          </w:tblCellMar>
        </w:tblPrEx>
        <w:trPr>
          <w:cantSplit/>
          <w:trHeight w:val="233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202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开展矿产资源保护和监管工作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355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200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建设项目占用林地审批管理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77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开展国土调查工作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cantSplit/>
          <w:trHeight w:val="80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七、生态环保事项类别（8项）</w:t>
            </w:r>
          </w:p>
        </w:tc>
      </w:tr>
      <w:tr>
        <w:tblPrEx>
          <w:tblCellMar>
            <w:top w:w="28" w:type="dxa"/>
            <w:left w:w="57" w:type="dxa"/>
            <w:bottom w:w="28" w:type="dxa"/>
            <w:right w:w="57" w:type="dxa"/>
          </w:tblCellMar>
        </w:tblPrEx>
        <w:trPr>
          <w:cantSplit/>
          <w:trHeight w:val="172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开展古树名木保护管理工作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275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开展野生动植物保护工作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211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防治农作物病虫害</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211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开展水土保持工作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228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做好畜禽养殖污染防治工作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345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开展水污染防治工作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252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开展噪声污染防治工作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2203"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做好固体废物污染防治工作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88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both"/>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八、城乡建设事项类别（11项）</w:t>
            </w:r>
          </w:p>
        </w:tc>
      </w:tr>
      <w:tr>
        <w:tblPrEx>
          <w:tblCellMar>
            <w:top w:w="28" w:type="dxa"/>
            <w:left w:w="57" w:type="dxa"/>
            <w:bottom w:w="28" w:type="dxa"/>
            <w:right w:w="57" w:type="dxa"/>
          </w:tblCellMar>
        </w:tblPrEx>
        <w:trPr>
          <w:cantSplit/>
          <w:trHeight w:val="282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开展自建房安全管理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317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开展农村危房改造工作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282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办理农用地转用审批</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256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做好电力设施和电能保护</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354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开展行政区划、界线、地名管理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245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开展农村能源建设与管理工作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231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实施农田水利建设和管理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172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开展农村厕所革命</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562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预防非职业性一氧化碳中毒</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272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开展排水与污水处理工作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219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负责不动产权籍调查及登记工作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88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九、交通运输事项类别（2项）</w:t>
            </w:r>
          </w:p>
        </w:tc>
      </w:tr>
      <w:tr>
        <w:tblPrEx>
          <w:tblCellMar>
            <w:top w:w="28" w:type="dxa"/>
            <w:left w:w="57" w:type="dxa"/>
            <w:bottom w:w="28" w:type="dxa"/>
            <w:right w:w="57" w:type="dxa"/>
          </w:tblCellMar>
        </w:tblPrEx>
        <w:trPr>
          <w:cantSplit/>
          <w:trHeight w:val="362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开展道路交通安全管理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2472"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92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w:t>
            </w:r>
            <w:r>
              <w:rPr>
                <w:rFonts w:hint="eastAsia" w:ascii="黑体" w:hAnsi="黑体" w:eastAsia="黑体" w:cs="黑体"/>
                <w:kern w:val="0"/>
                <w:sz w:val="24"/>
                <w:szCs w:val="24"/>
                <w:lang w:bidi="ar"/>
              </w:rPr>
              <w:t>商贸流通</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2项）</w:t>
            </w:r>
          </w:p>
        </w:tc>
      </w:tr>
      <w:tr>
        <w:tblPrEx>
          <w:tblCellMar>
            <w:top w:w="28" w:type="dxa"/>
            <w:left w:w="57" w:type="dxa"/>
            <w:bottom w:w="28" w:type="dxa"/>
            <w:right w:w="57" w:type="dxa"/>
          </w:tblCellMar>
        </w:tblPrEx>
        <w:trPr>
          <w:cantSplit/>
          <w:trHeight w:val="187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促进农村电子商务发展</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267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开展粮食收储工作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82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文化和旅游</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5项）</w:t>
            </w:r>
          </w:p>
        </w:tc>
      </w:tr>
      <w:tr>
        <w:tblPrEx>
          <w:tblCellMar>
            <w:top w:w="28" w:type="dxa"/>
            <w:left w:w="57" w:type="dxa"/>
            <w:bottom w:w="28" w:type="dxa"/>
            <w:right w:w="57" w:type="dxa"/>
          </w:tblCellMar>
        </w:tblPrEx>
        <w:trPr>
          <w:cantSplit/>
          <w:trHeight w:val="209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做好对娱乐场所经营活动的监管</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225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做好旅游业发展和监督管理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 xml:space="preserve">宣传；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314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2038"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开展文物保护监督管理工作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238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非物质文化遗产保护传承</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80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十二、卫生健康事项类别（2项）</w:t>
            </w:r>
          </w:p>
        </w:tc>
      </w:tr>
      <w:tr>
        <w:tblPrEx>
          <w:tblCellMar>
            <w:top w:w="28" w:type="dxa"/>
            <w:left w:w="57" w:type="dxa"/>
            <w:bottom w:w="28" w:type="dxa"/>
            <w:right w:w="57" w:type="dxa"/>
          </w:tblCellMar>
        </w:tblPrEx>
        <w:trPr>
          <w:cantSplit/>
          <w:trHeight w:val="331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开展疾病预防及传染病防控工作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221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开展卫生监督工作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87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十三、</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5项）</w:t>
            </w:r>
          </w:p>
        </w:tc>
      </w:tr>
      <w:tr>
        <w:tblPrEx>
          <w:tblCellMar>
            <w:top w:w="28" w:type="dxa"/>
            <w:left w:w="57" w:type="dxa"/>
            <w:bottom w:w="28" w:type="dxa"/>
            <w:right w:w="57" w:type="dxa"/>
          </w:tblCellMar>
        </w:tblPrEx>
        <w:trPr>
          <w:cantSplit/>
          <w:trHeight w:val="6924"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398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开展安全生产工作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4477"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开展森林防火灭火工作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380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开展消防安全工作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282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开展燃气安全排查整治</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934"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十四、</w:t>
            </w:r>
            <w:r>
              <w:rPr>
                <w:rFonts w:hint="eastAsia" w:ascii="黑体" w:hAnsi="黑体" w:eastAsia="黑体" w:cs="黑体"/>
                <w:kern w:val="0"/>
                <w:sz w:val="24"/>
                <w:szCs w:val="24"/>
                <w:lang w:bidi="ar"/>
              </w:rPr>
              <w:t>市场监管</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8项）</w:t>
            </w:r>
          </w:p>
        </w:tc>
      </w:tr>
      <w:tr>
        <w:tblPrEx>
          <w:tblCellMar>
            <w:top w:w="28" w:type="dxa"/>
            <w:left w:w="57" w:type="dxa"/>
            <w:bottom w:w="28" w:type="dxa"/>
            <w:right w:w="57" w:type="dxa"/>
          </w:tblCellMar>
        </w:tblPrEx>
        <w:trPr>
          <w:cantSplit/>
          <w:trHeight w:val="4845"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开展农药、种子、肥料监督管理工作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90"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开展农产品质量安全监管工作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302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开展农贸市场监督管理工作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2896"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开展消费者权益保护工作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490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开展食品安全监督管理工作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（5）组织镇领导干部对C级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478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1949"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开展传销、违规直销监督管理工作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210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993"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十五、投资促进事项类别（1项）</w:t>
            </w:r>
          </w:p>
        </w:tc>
      </w:tr>
      <w:tr>
        <w:tblPrEx>
          <w:tblCellMar>
            <w:top w:w="28" w:type="dxa"/>
            <w:left w:w="57" w:type="dxa"/>
            <w:bottom w:w="28" w:type="dxa"/>
            <w:right w:w="57" w:type="dxa"/>
          </w:tblCellMar>
        </w:tblPrEx>
        <w:trPr>
          <w:cantSplit/>
          <w:trHeight w:val="2291" w:hRule="atLeast"/>
          <w:jc w:val="center"/>
        </w:trPr>
        <w:tc>
          <w:tcPr>
            <w:tcW w:w="189"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sz w:val="24"/>
                <w:szCs w:val="24"/>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做好招商引资工作</w:t>
            </w:r>
          </w:p>
        </w:tc>
        <w:tc>
          <w:tcPr>
            <w:tcW w:w="7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20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4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bookmarkEnd w:id="3"/>
    </w:tbl>
    <w:p>
      <w:pPr>
        <w:rPr>
          <w:rFonts w:hint="eastAsia" w:ascii="方正小标宋_GBK" w:hAnsi="方正小标宋_GBK" w:eastAsia="方正小标宋_GBK" w:cs="方正小标宋_GBK"/>
          <w:b w:val="0"/>
          <w:bCs w:val="0"/>
        </w:rPr>
      </w:pPr>
      <w:bookmarkStart w:id="4" w:name="_Toc256000003"/>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bookmarkEnd w:id="4"/>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5" w:name="_GoBack"/>
            <w:r>
              <w:rPr>
                <w:rFonts w:hint="eastAsia" w:ascii="黑体" w:hAnsi="黑体" w:eastAsia="黑体" w:cs="黑体"/>
                <w:kern w:val="0"/>
                <w:sz w:val="24"/>
                <w:szCs w:val="24"/>
                <w:lang w:val="en-US" w:eastAsia="zh-CN" w:bidi="ar"/>
              </w:rPr>
              <w:t>市场监管</w:t>
            </w:r>
            <w:bookmarkEnd w:id="5"/>
            <w:r>
              <w:rPr>
                <w:rFonts w:hint="eastAsia" w:ascii="黑体" w:hAnsi="黑体" w:eastAsia="黑体" w:cs="黑体"/>
                <w:kern w:val="0"/>
                <w:sz w:val="24"/>
                <w:szCs w:val="24"/>
                <w:lang w:val="en-US" w:eastAsia="zh-CN" w:bidi="ar"/>
              </w:rPr>
              <w:t>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5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5576FA"/>
    <w:multiLevelType w:val="singleLevel"/>
    <w:tmpl w:val="FD5576FA"/>
    <w:lvl w:ilvl="0" w:tentative="0">
      <w:start w:val="1"/>
      <w:numFmt w:val="decimal"/>
      <w:suff w:val="nothing"/>
      <w:lvlText w:val="%1"/>
      <w:lvlJc w:val="left"/>
      <w:pPr>
        <w:ind w:left="425" w:leftChars="0" w:hanging="425" w:firstLineChars="0"/>
      </w:pPr>
      <w:rPr>
        <w:rFonts w:hint="default"/>
      </w:rPr>
    </w:lvl>
  </w:abstractNum>
  <w:abstractNum w:abstractNumId="1">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D9F895D"/>
    <w:multiLevelType w:val="singleLevel"/>
    <w:tmpl w:val="6D9F895D"/>
    <w:lvl w:ilvl="0" w:tentative="0">
      <w:start w:val="1"/>
      <w:numFmt w:val="decimal"/>
      <w:suff w:val="nothing"/>
      <w:lvlText w:val="%1"/>
      <w:lvlJc w:val="left"/>
      <w:pPr>
        <w:ind w:left="425" w:leftChars="0" w:hanging="425" w:firstLineChars="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0EE3396"/>
    <w:rsid w:val="013D3217"/>
    <w:rsid w:val="030C3674"/>
    <w:rsid w:val="04454BA9"/>
    <w:rsid w:val="04496ACA"/>
    <w:rsid w:val="04612561"/>
    <w:rsid w:val="05D838A5"/>
    <w:rsid w:val="06684974"/>
    <w:rsid w:val="07AF28F0"/>
    <w:rsid w:val="07C62017"/>
    <w:rsid w:val="07E66886"/>
    <w:rsid w:val="08715707"/>
    <w:rsid w:val="08A172A9"/>
    <w:rsid w:val="08E2548A"/>
    <w:rsid w:val="0991524E"/>
    <w:rsid w:val="099A6590"/>
    <w:rsid w:val="0A37479C"/>
    <w:rsid w:val="0B371F90"/>
    <w:rsid w:val="0C2328E7"/>
    <w:rsid w:val="0C330C30"/>
    <w:rsid w:val="0DE57669"/>
    <w:rsid w:val="0E2952D0"/>
    <w:rsid w:val="10426253"/>
    <w:rsid w:val="10685E7C"/>
    <w:rsid w:val="1101640A"/>
    <w:rsid w:val="1341283F"/>
    <w:rsid w:val="13D71101"/>
    <w:rsid w:val="193F38D7"/>
    <w:rsid w:val="1A2E5416"/>
    <w:rsid w:val="1AB64811"/>
    <w:rsid w:val="1B5B3F36"/>
    <w:rsid w:val="1C1E6EE4"/>
    <w:rsid w:val="1C7D40B2"/>
    <w:rsid w:val="1C914272"/>
    <w:rsid w:val="1CBA3CA0"/>
    <w:rsid w:val="1CFC18EA"/>
    <w:rsid w:val="1D080FCA"/>
    <w:rsid w:val="1E63689D"/>
    <w:rsid w:val="1F562440"/>
    <w:rsid w:val="1FB35E56"/>
    <w:rsid w:val="1FFF6377"/>
    <w:rsid w:val="208F0C2A"/>
    <w:rsid w:val="22954237"/>
    <w:rsid w:val="22B3289D"/>
    <w:rsid w:val="240B0194"/>
    <w:rsid w:val="24D2635B"/>
    <w:rsid w:val="2509296B"/>
    <w:rsid w:val="254A56FE"/>
    <w:rsid w:val="267C2351"/>
    <w:rsid w:val="27B90EE7"/>
    <w:rsid w:val="28D15C6E"/>
    <w:rsid w:val="2A6515D4"/>
    <w:rsid w:val="2BE848BF"/>
    <w:rsid w:val="2C5A7701"/>
    <w:rsid w:val="2C746220"/>
    <w:rsid w:val="2C750443"/>
    <w:rsid w:val="2ED965B3"/>
    <w:rsid w:val="2F307282"/>
    <w:rsid w:val="305775A2"/>
    <w:rsid w:val="318238F7"/>
    <w:rsid w:val="324B2626"/>
    <w:rsid w:val="3255116D"/>
    <w:rsid w:val="32E6502A"/>
    <w:rsid w:val="33F72338"/>
    <w:rsid w:val="33FE6F74"/>
    <w:rsid w:val="341279F6"/>
    <w:rsid w:val="347B653D"/>
    <w:rsid w:val="349C0845"/>
    <w:rsid w:val="34BC06A1"/>
    <w:rsid w:val="34DD48F5"/>
    <w:rsid w:val="351221B8"/>
    <w:rsid w:val="35750BBE"/>
    <w:rsid w:val="35A671FD"/>
    <w:rsid w:val="378C11DB"/>
    <w:rsid w:val="3793014E"/>
    <w:rsid w:val="38F019DA"/>
    <w:rsid w:val="3B4E2DB3"/>
    <w:rsid w:val="3C764958"/>
    <w:rsid w:val="3DF270D5"/>
    <w:rsid w:val="3EDB6348"/>
    <w:rsid w:val="3F093208"/>
    <w:rsid w:val="3FD55F2F"/>
    <w:rsid w:val="401C434D"/>
    <w:rsid w:val="40DB6D9D"/>
    <w:rsid w:val="40E03086"/>
    <w:rsid w:val="416C1CD0"/>
    <w:rsid w:val="426449DB"/>
    <w:rsid w:val="42755950"/>
    <w:rsid w:val="42D02D81"/>
    <w:rsid w:val="42F5161C"/>
    <w:rsid w:val="44513734"/>
    <w:rsid w:val="45B67B3B"/>
    <w:rsid w:val="46497182"/>
    <w:rsid w:val="46B104FE"/>
    <w:rsid w:val="47294475"/>
    <w:rsid w:val="47761C0B"/>
    <w:rsid w:val="47F94D65"/>
    <w:rsid w:val="4BCB2734"/>
    <w:rsid w:val="4BEB2EE5"/>
    <w:rsid w:val="4C16381A"/>
    <w:rsid w:val="4D16315D"/>
    <w:rsid w:val="4EC42AE8"/>
    <w:rsid w:val="4FD82A2A"/>
    <w:rsid w:val="501B02E3"/>
    <w:rsid w:val="50402BD9"/>
    <w:rsid w:val="50A827A2"/>
    <w:rsid w:val="510D62C7"/>
    <w:rsid w:val="52B561E5"/>
    <w:rsid w:val="538B662A"/>
    <w:rsid w:val="550947D8"/>
    <w:rsid w:val="55D13ADC"/>
    <w:rsid w:val="560B325F"/>
    <w:rsid w:val="562345E4"/>
    <w:rsid w:val="57A77A33"/>
    <w:rsid w:val="57FA5840"/>
    <w:rsid w:val="58444A15"/>
    <w:rsid w:val="59486EC0"/>
    <w:rsid w:val="59684F9A"/>
    <w:rsid w:val="59C24EF1"/>
    <w:rsid w:val="59CC565B"/>
    <w:rsid w:val="5A022408"/>
    <w:rsid w:val="5A1C28CD"/>
    <w:rsid w:val="5A580817"/>
    <w:rsid w:val="5ED37C57"/>
    <w:rsid w:val="60AF0D84"/>
    <w:rsid w:val="619500A0"/>
    <w:rsid w:val="62DE7122"/>
    <w:rsid w:val="65453DB0"/>
    <w:rsid w:val="67D17238"/>
    <w:rsid w:val="682D5045"/>
    <w:rsid w:val="684465DA"/>
    <w:rsid w:val="6921594E"/>
    <w:rsid w:val="69363027"/>
    <w:rsid w:val="6A002E19"/>
    <w:rsid w:val="6B172801"/>
    <w:rsid w:val="6C6B0220"/>
    <w:rsid w:val="6DB65C80"/>
    <w:rsid w:val="6E1265C9"/>
    <w:rsid w:val="6E6304A3"/>
    <w:rsid w:val="6F462E9E"/>
    <w:rsid w:val="6FD24134"/>
    <w:rsid w:val="70472DB4"/>
    <w:rsid w:val="71EA0CF1"/>
    <w:rsid w:val="72EB29D6"/>
    <w:rsid w:val="73085254"/>
    <w:rsid w:val="735C1AEF"/>
    <w:rsid w:val="73846643"/>
    <w:rsid w:val="73CF4E54"/>
    <w:rsid w:val="73D02B05"/>
    <w:rsid w:val="748D4913"/>
    <w:rsid w:val="748F04CD"/>
    <w:rsid w:val="75FB3F30"/>
    <w:rsid w:val="784214E7"/>
    <w:rsid w:val="78983000"/>
    <w:rsid w:val="79A4194C"/>
    <w:rsid w:val="79BA2043"/>
    <w:rsid w:val="7BA6249C"/>
    <w:rsid w:val="7BE46E4E"/>
    <w:rsid w:val="7CD872AF"/>
    <w:rsid w:val="7CE27F0F"/>
    <w:rsid w:val="7D731839"/>
    <w:rsid w:val="7D9F76B1"/>
    <w:rsid w:val="7DFF7036"/>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281</Pages>
  <Words>29216</Words>
  <Characters>29455</Characters>
  <Lines>1552</Lines>
  <Paragraphs>437</Paragraphs>
  <TotalTime>127</TotalTime>
  <ScaleCrop>false</ScaleCrop>
  <LinksUpToDate>false</LinksUpToDate>
  <CharactersWithSpaces>32406</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2025-07-30T07:05:25Z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7F383E2B5D1142AEA6DC000BF62EBD5B_13</vt:lpwstr>
  </property>
  <property fmtid="{D5CDD505-2E9C-101B-9397-08002B2CF9AE}" pid="3" name="KSOProductBuildVer">
    <vt:lpwstr>2052-11.8.2.10154</vt:lpwstr>
  </property>
  <property fmtid="{D5CDD505-2E9C-101B-9397-08002B2CF9AE}" pid="4" name="KSOTemplateDocerSaveRecord">
    <vt:lpwstr>eyJoZGlkIjoiMWI5MjBmNDViNDgzOGMwNWY1MDBlZTYwOGE3NzkyZDYiLCJ1c2VySWQiOiI1NTM4ODA2NTMifQ==</vt:lpwstr>
  </property>
</Properties>
</file>