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both"/>
        <w:rPr>
          <w:rFonts w:hint="eastAsia" w:ascii="黑体" w:hAnsi="黑体" w:eastAsia="黑体" w:cs="黑体"/>
          <w:sz w:val="36"/>
          <w:szCs w:val="36"/>
        </w:rPr>
      </w:pPr>
    </w:p>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spacing w:line="400" w:lineRule="exact"/>
        <w:jc w:val="center"/>
        <w:rPr>
          <w:rFonts w:eastAsia="方正小标宋简体"/>
          <w:sz w:val="84"/>
          <w:szCs w:val="84"/>
        </w:rPr>
      </w:pPr>
    </w:p>
    <w:p>
      <w:pPr>
        <w:jc w:val="center"/>
        <w:rPr>
          <w:rFonts w:ascii="方正小标宋_GBK" w:eastAsia="方正小标宋_GBK"/>
          <w:w w:val="95"/>
          <w:sz w:val="84"/>
          <w:szCs w:val="84"/>
        </w:rPr>
      </w:pPr>
      <w:r>
        <w:rPr>
          <w:rFonts w:hint="eastAsia" w:ascii="方正小标宋_GBK" w:eastAsia="方正小标宋_GBK"/>
          <w:w w:val="95"/>
          <w:sz w:val="84"/>
          <w:szCs w:val="84"/>
        </w:rPr>
        <w:t>广西壮族自治区柳州市柳城县六塘镇</w:t>
      </w:r>
      <w:r>
        <w:rPr>
          <w:rFonts w:hint="eastAsia" w:ascii="方正小标宋_GBK" w:eastAsia="方正小标宋_GBK"/>
          <w:w w:val="95"/>
          <w:sz w:val="84"/>
          <w:szCs w:val="84"/>
        </w:rPr>
        <w:br w:type="textWrapping"/>
      </w:r>
      <w:r>
        <w:rPr>
          <w:rFonts w:hint="eastAsia" w:ascii="方正小标宋_GBK" w:eastAsia="方正小标宋_GBK"/>
          <w:w w:val="95"/>
          <w:sz w:val="84"/>
          <w:szCs w:val="84"/>
        </w:rPr>
        <w:t>履行职责事项清单</w:t>
      </w:r>
    </w:p>
    <w:p>
      <w:pPr>
        <w:jc w:val="center"/>
        <w:rPr>
          <w:rFonts w:ascii="方正小标宋_GBK" w:eastAsia="方正小标宋_GBK"/>
          <w:w w:val="95"/>
          <w:sz w:val="84"/>
          <w:szCs w:val="84"/>
        </w:rPr>
      </w:pPr>
    </w:p>
    <w:p>
      <w:pPr>
        <w:jc w:val="center"/>
        <w:rPr>
          <w:rFonts w:hint="eastAsia" w:eastAsia="方正黑体_GBK"/>
          <w:sz w:val="44"/>
          <w:szCs w:val="44"/>
        </w:rPr>
      </w:pPr>
    </w:p>
    <w:p>
      <w:pPr>
        <w:jc w:val="center"/>
        <w:rPr>
          <w:rFonts w:eastAsia="方正黑体_GBK"/>
          <w:sz w:val="44"/>
          <w:szCs w:val="44"/>
        </w:rPr>
      </w:pPr>
    </w:p>
    <w:p>
      <w:pPr>
        <w:rPr>
          <w:rFonts w:eastAsia="方正黑体_GBK"/>
          <w:sz w:val="44"/>
          <w:szCs w:val="44"/>
        </w:rPr>
      </w:pPr>
    </w:p>
    <w:p>
      <w:pPr>
        <w:rPr>
          <w:rFonts w:eastAsia="方正黑体_GBK"/>
          <w:sz w:val="44"/>
          <w:szCs w:val="44"/>
        </w:rPr>
      </w:pPr>
    </w:p>
    <w:p>
      <w:pPr>
        <w:rPr>
          <w:rFonts w:eastAsia="方正黑体_GBK"/>
          <w:sz w:val="44"/>
          <w:szCs w:val="44"/>
        </w:rPr>
      </w:pPr>
    </w:p>
    <w:p>
      <w:pPr>
        <w:pStyle w:val="2"/>
        <w:rPr>
          <w:rFonts w:hint="eastAsia"/>
          <w:lang w:val="en-US" w:bidi="ar-SA"/>
        </w:rPr>
      </w:pPr>
    </w:p>
    <w:p>
      <w:pPr>
        <w:jc w:val="center"/>
        <w:rPr>
          <w:rFonts w:eastAsia="方正黑体_GBK"/>
          <w:sz w:val="48"/>
          <w:szCs w:val="48"/>
        </w:rPr>
      </w:pPr>
    </w:p>
    <w:p>
      <w:pPr>
        <w:jc w:val="center"/>
        <w:rPr>
          <w:rFonts w:ascii="方正黑体_GBK" w:eastAsia="方正黑体_GBK"/>
          <w:sz w:val="48"/>
          <w:szCs w:val="48"/>
        </w:rPr>
      </w:pPr>
      <w:r>
        <w:rPr>
          <w:rFonts w:ascii="方正黑体_GBK" w:eastAsia="方正黑体_GBK"/>
          <w:sz w:val="48"/>
          <w:szCs w:val="48"/>
        </w:rPr>
        <w:t>2025年</w:t>
      </w:r>
      <w:r>
        <w:rPr>
          <w:rFonts w:hint="eastAsia" w:ascii="方正黑体_GBK"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footerReference r:id="rId3" w:type="even"/>
          <w:pgSz w:w="23814" w:h="16840" w:orient="landscape"/>
          <w:pgMar w:top="1701" w:right="1418" w:bottom="1134" w:left="1418" w:header="851" w:footer="851" w:gutter="0"/>
          <w:pgNumType w:start="1"/>
          <w:cols w:space="720" w:num="1"/>
          <w:docGrid w:type="lines" w:linePitch="571" w:charSpace="0"/>
        </w:sectPr>
      </w:pPr>
    </w:p>
    <w:sdt>
      <w:sdtPr>
        <w:rPr>
          <w:rFonts w:ascii="宋体" w:hAnsi="宋体" w:eastAsia="宋体" w:cs="Times New Roman"/>
          <w:kern w:val="2"/>
          <w:sz w:val="52"/>
          <w:szCs w:val="52"/>
          <w:lang w:val="en-US" w:eastAsia="zh-CN" w:bidi="ar-SA"/>
        </w:rPr>
        <w:id w:val="147480385"/>
        <w:docPartObj>
          <w:docPartGallery w:val="Table of Contents"/>
          <w:docPartUnique/>
        </w:docPartObj>
      </w:sdtPr>
      <w:sdtEndPr>
        <w:rPr>
          <w:rFonts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sz w:val="52"/>
              <w:szCs w:val="52"/>
            </w:rPr>
          </w:pPr>
          <w:r>
            <w:rPr>
              <w:rFonts w:hint="eastAsia" w:ascii="方正小标宋简体" w:hAnsi="方正小标宋简体" w:eastAsia="方正小标宋简体" w:cs="方正小标宋简体"/>
              <w:sz w:val="44"/>
              <w:szCs w:val="44"/>
            </w:rPr>
            <w:t>目录</w:t>
          </w:r>
          <w:bookmarkStart w:id="3" w:name="_GoBack"/>
          <w:bookmarkEnd w:id="3"/>
        </w:p>
        <w:p>
          <w:pPr>
            <w:pStyle w:val="12"/>
            <w:tabs>
              <w:tab w:val="right" w:leader="dot" w:pos="20968"/>
            </w:tabs>
            <w:rPr>
              <w:rFonts w:asciiTheme="minorHAnsi" w:hAnsiTheme="minorHAnsi"/>
              <w:sz w:val="22"/>
            </w:rPr>
          </w:pPr>
          <w:r>
            <w:fldChar w:fldCharType="begin"/>
          </w:r>
          <w:r>
            <w:instrText xml:space="preserve">TOC \o "1-3" \h \u </w:instrText>
          </w:r>
          <w:r>
            <w:fldChar w:fldCharType="separate"/>
          </w:r>
          <w:r>
            <w:fldChar w:fldCharType="begin"/>
          </w:r>
          <w:r>
            <w:rPr>
              <w:rStyle w:val="19"/>
            </w:rPr>
            <w:instrText xml:space="preserve"> HYPERLINK \l "_Toc256000001" </w:instrText>
          </w:r>
          <w:r>
            <w:fldChar w:fldCharType="separate"/>
          </w:r>
          <w:r>
            <w:rPr>
              <w:rStyle w:val="19"/>
            </w:rPr>
            <w:tab/>
          </w:r>
          <w:r>
            <w:fldChar w:fldCharType="begin"/>
          </w:r>
          <w:r>
            <w:rPr>
              <w:rStyle w:val="19"/>
            </w:rPr>
            <w:instrText xml:space="preserve"> PAGEREF _Toc256000001 \h </w:instrText>
          </w:r>
          <w:r>
            <w:fldChar w:fldCharType="separate"/>
          </w:r>
          <w:r>
            <w:rPr>
              <w:rStyle w:val="19"/>
              <w:rFonts w:hint="eastAsia" w:ascii="仿宋_GB2312" w:hAnsi="仿宋_GB2312" w:eastAsia="仿宋_GB2312" w:cs="仿宋_GB2312"/>
            </w:rPr>
            <w:t>基本履职事项清单</w:t>
          </w:r>
          <w:r>
            <w:rPr>
              <w:rStyle w:val="19"/>
            </w:rPr>
            <w:t>（10</w:t>
          </w:r>
          <w:r>
            <w:rPr>
              <w:rStyle w:val="19"/>
              <w:rFonts w:hint="eastAsia"/>
              <w:lang w:val="en-US" w:eastAsia="zh-CN"/>
            </w:rPr>
            <w:t>3</w:t>
          </w:r>
          <w:r>
            <w:rPr>
              <w:rStyle w:val="19"/>
              <w:rFonts w:hint="eastAsia" w:ascii="仿宋_GB2312" w:hAnsi="仿宋_GB2312" w:eastAsia="仿宋_GB2312" w:cs="仿宋_GB2312"/>
            </w:rPr>
            <w:t>条</w:t>
          </w:r>
          <w:r>
            <w:rPr>
              <w:rStyle w:val="19"/>
            </w:rPr>
            <w:t>）</w:t>
          </w:r>
          <w:r>
            <w:rPr>
              <w:rStyle w:val="19"/>
            </w:rPr>
            <w:tab/>
          </w:r>
          <w:r>
            <w:rPr>
              <w:rStyle w:val="19"/>
            </w:rPr>
            <w:t>1</w:t>
          </w:r>
          <w:r>
            <w:fldChar w:fldCharType="end"/>
          </w:r>
          <w: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"_Toc256000002" </w:instrText>
          </w:r>
          <w:r>
            <w:fldChar w:fldCharType="separate"/>
          </w:r>
          <w:r>
            <w:rPr>
              <w:rStyle w:val="19"/>
            </w:rPr>
            <w:tab/>
          </w:r>
          <w:r>
            <w:fldChar w:fldCharType="begin"/>
          </w:r>
          <w:r>
            <w:rPr>
              <w:rStyle w:val="19"/>
            </w:rPr>
            <w:instrText xml:space="preserve"> PAGEREF _Toc256000002 \h </w:instrText>
          </w:r>
          <w:r>
            <w:fldChar w:fldCharType="separate"/>
          </w:r>
          <w:r>
            <w:rPr>
              <w:rStyle w:val="19"/>
              <w:rFonts w:hint="eastAsia" w:ascii="仿宋_GB2312" w:hAnsi="仿宋_GB2312" w:eastAsia="仿宋_GB2312" w:cs="仿宋_GB2312"/>
            </w:rPr>
            <w:t>配合履职事项清单</w:t>
          </w:r>
          <w:r>
            <w:rPr>
              <w:rStyle w:val="19"/>
            </w:rPr>
            <w:t>（</w:t>
          </w:r>
          <w:r>
            <w:rPr>
              <w:rStyle w:val="19"/>
              <w:rFonts w:hint="eastAsia"/>
              <w:lang w:val="en-US" w:eastAsia="zh-CN"/>
            </w:rPr>
            <w:t>93</w:t>
          </w:r>
          <w:r>
            <w:rPr>
              <w:rStyle w:val="19"/>
              <w:rFonts w:hint="eastAsia" w:ascii="仿宋_GB2312" w:hAnsi="仿宋_GB2312" w:eastAsia="仿宋_GB2312" w:cs="仿宋_GB2312"/>
            </w:rPr>
            <w:t>条</w:t>
          </w:r>
          <w:r>
            <w:rPr>
              <w:rStyle w:val="19"/>
            </w:rPr>
            <w:t>）</w:t>
          </w:r>
          <w:r>
            <w:rPr>
              <w:rStyle w:val="19"/>
            </w:rPr>
            <w:tab/>
          </w:r>
          <w:r>
            <w:fldChar w:fldCharType="end"/>
          </w:r>
          <w:r>
            <w:fldChar w:fldCharType="end"/>
          </w:r>
          <w:r>
            <w:rPr>
              <w:rFonts w:hint="eastAsia"/>
              <w:lang w:val="en-US" w:eastAsia="zh-CN"/>
            </w:rPr>
            <w:t>7</w:t>
          </w:r>
        </w:p>
        <w:p>
          <w:pPr>
            <w:pStyle w:val="12"/>
            <w:tabs>
              <w:tab w:val="right" w:leader="dot" w:pos="20968"/>
            </w:tabs>
            <w:rPr>
              <w:rFonts w:asciiTheme="minorHAnsi" w:hAnsiTheme="minorHAnsi"/>
              <w:sz w:val="22"/>
            </w:rPr>
          </w:pPr>
          <w:r>
            <w:fldChar w:fldCharType="begin"/>
          </w:r>
          <w:r>
            <w:rPr>
              <w:rStyle w:val="19"/>
            </w:rPr>
            <w:instrText xml:space="preserve"> HYPERLINK \l "_Toc256000003" </w:instrText>
          </w:r>
          <w:r>
            <w:fldChar w:fldCharType="separate"/>
          </w:r>
          <w:r>
            <w:rPr>
              <w:rStyle w:val="19"/>
            </w:rPr>
            <w:tab/>
          </w:r>
          <w:r>
            <w:fldChar w:fldCharType="begin"/>
          </w:r>
          <w:r>
            <w:rPr>
              <w:rStyle w:val="19"/>
            </w:rPr>
            <w:instrText xml:space="preserve"> PAGEREF _Toc256000003 \h </w:instrText>
          </w:r>
          <w:r>
            <w:fldChar w:fldCharType="separate"/>
          </w:r>
          <w:r>
            <w:rPr>
              <w:rStyle w:val="19"/>
              <w:rFonts w:hint="eastAsia" w:ascii="仿宋_GB2312" w:hAnsi="仿宋_GB2312" w:eastAsia="仿宋_GB2312" w:cs="仿宋_GB2312"/>
            </w:rPr>
            <w:t>上级部门收回事项清单</w:t>
          </w:r>
          <w:r>
            <w:rPr>
              <w:rStyle w:val="19"/>
            </w:rPr>
            <w:t>（14</w:t>
          </w:r>
          <w:r>
            <w:rPr>
              <w:rStyle w:val="19"/>
              <w:rFonts w:hint="eastAsia"/>
              <w:lang w:val="en-US" w:eastAsia="zh-CN"/>
            </w:rPr>
            <w:t>1</w:t>
          </w:r>
          <w:r>
            <w:rPr>
              <w:rStyle w:val="19"/>
              <w:rFonts w:hint="eastAsia" w:ascii="仿宋_GB2312" w:hAnsi="仿宋_GB2312" w:eastAsia="仿宋_GB2312" w:cs="仿宋_GB2312"/>
            </w:rPr>
            <w:t>条</w:t>
          </w:r>
          <w:r>
            <w:rPr>
              <w:rStyle w:val="19"/>
            </w:rPr>
            <w:t>）</w:t>
          </w:r>
          <w:r>
            <w:rPr>
              <w:rStyle w:val="19"/>
            </w:rPr>
            <w:tab/>
          </w:r>
          <w:r>
            <w:fldChar w:fldCharType="end"/>
          </w:r>
          <w:r>
            <w:fldChar w:fldCharType="end"/>
          </w:r>
          <w:r>
            <w:rPr>
              <w:rFonts w:hint="eastAsia"/>
              <w:lang w:val="en-US" w:eastAsia="zh-CN"/>
            </w:rPr>
            <w:t>36</w:t>
          </w:r>
        </w:p>
        <w:p>
          <w:pPr>
            <w:keepNext w:val="0"/>
            <w:keepLines w:val="0"/>
            <w:pageBreakBefore w:val="0"/>
            <w:kinsoku/>
            <w:wordWrap/>
            <w:overflowPunct/>
            <w:topLinePunct w:val="0"/>
            <w:autoSpaceDE/>
            <w:autoSpaceDN/>
            <w:bidi w:val="0"/>
            <w:adjustRightInd/>
            <w:snapToGrid/>
            <w:ind w:left="2560" w:leftChars="800" w:right="2560" w:rightChars="800" w:firstLine="0"/>
            <w:textAlignment w:val="auto"/>
          </w:pPr>
          <w:r>
            <w:fldChar w:fldCharType="end"/>
          </w:r>
        </w:p>
      </w:sdtContent>
    </w:sdt>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r>
        <w:rPr>
          <w:rFonts w:hint="eastAsia" w:eastAsia="仿宋_GB2312"/>
          <w:snapToGrid w:val="0"/>
          <w:sz w:val="44"/>
          <w:szCs w:val="44"/>
        </w:rPr>
        <w:t xml:space="preserve"> </w:t>
      </w: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adjustRightInd w:val="0"/>
        <w:snapToGrid w:val="0"/>
        <w:spacing w:line="570" w:lineRule="exact"/>
        <w:jc w:val="center"/>
        <w:rPr>
          <w:rFonts w:eastAsia="方正黑体_GBK" w:cs="宋体"/>
          <w:kern w:val="0"/>
          <w:sz w:val="36"/>
          <w:szCs w:val="36"/>
        </w:rPr>
        <w:sectPr>
          <w:pgSz w:w="23814" w:h="16840" w:orient="landscape"/>
          <w:pgMar w:top="1701" w:right="1418" w:bottom="1701" w:left="1418" w:header="851" w:footer="851" w:gutter="0"/>
          <w:pgNumType w:start="1"/>
          <w:cols w:space="720" w:num="1"/>
          <w:docGrid w:type="lines" w:linePitch="571" w:charSpace="0"/>
        </w:sectPr>
      </w:pPr>
    </w:p>
    <w:p>
      <w:pPr>
        <w:pStyle w:val="4"/>
        <w:bidi w:val="0"/>
        <w:jc w:val="center"/>
        <w:rPr>
          <w:rFonts w:hint="eastAsia" w:ascii="方正小标宋简体" w:hAnsi="方正小标宋简体" w:eastAsia="方正小标宋简体" w:cs="方正小标宋简体"/>
          <w:kern w:val="0"/>
          <w:sz w:val="44"/>
          <w:szCs w:val="44"/>
        </w:rPr>
      </w:pPr>
      <w:bookmarkStart w:id="0" w:name="_Toc256000001"/>
      <w:bookmarkStart w:id="1" w:name="_Toc25016"/>
      <w:r>
        <w:rPr>
          <w:rFonts w:hint="eastAsia" w:ascii="方正小标宋简体" w:hAnsi="方正小标宋简体" w:eastAsia="方正小标宋简体" w:cs="方正小标宋简体"/>
          <w:b w:val="0"/>
          <w:bCs w:val="0"/>
          <w:sz w:val="44"/>
          <w:szCs w:val="44"/>
        </w:rPr>
        <w:t>基本履职事项清单</w:t>
      </w:r>
      <w:bookmarkEnd w:id="0"/>
      <w:bookmarkEnd w:id="1"/>
    </w:p>
    <w:tbl>
      <w:tblPr>
        <w:tblStyle w:val="15"/>
        <w:tblW w:w="4752"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1179"/>
        <w:gridCol w:w="188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2" w:hRule="atLeast"/>
          <w:tblHeader/>
        </w:trPr>
        <w:tc>
          <w:tcPr>
            <w:tcW w:w="2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序号</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eastAsia" w:ascii="黑体" w:hAnsi="黑体" w:eastAsia="黑体" w:cs="黑体"/>
                <w:kern w:val="0"/>
                <w:sz w:val="28"/>
                <w:szCs w:val="28"/>
                <w:lang w:eastAsia="zh-CN"/>
              </w:rPr>
            </w:pPr>
            <w:r>
              <w:rPr>
                <w:rFonts w:hint="eastAsia" w:ascii="黑体" w:hAnsi="黑体" w:eastAsia="黑体" w:cs="黑体"/>
                <w:kern w:val="0"/>
                <w:sz w:val="28"/>
                <w:szCs w:val="28"/>
                <w:lang w:eastAsia="zh-CN"/>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一、党的建设事项类别（</w:t>
            </w:r>
            <w:r>
              <w:rPr>
                <w:rStyle w:val="23"/>
                <w:rFonts w:hint="eastAsia" w:ascii="黑体" w:hAnsi="黑体" w:eastAsia="黑体" w:cs="黑体"/>
                <w:color w:val="auto"/>
                <w:lang w:val="en-US" w:eastAsia="zh-CN" w:bidi="ar"/>
              </w:rPr>
              <w:t>20</w:t>
            </w:r>
            <w:r>
              <w:rPr>
                <w:rStyle w:val="23"/>
                <w:rFonts w:hint="eastAsia" w:ascii="黑体" w:hAnsi="黑体" w:eastAsia="黑体" w:cs="黑体"/>
                <w:color w:val="auto"/>
                <w:lang w:eastAsia="zh-CN" w:bidi="ar"/>
              </w:rPr>
              <w:t>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学习贯彻落实习近平新时代中国特色社会主义思想和习近平总书记关于广西工作论述的重要要求，宣传贯彻执行党的路线方针政策，加强政治建设，坚定拥</w:t>
            </w:r>
            <w:r>
              <w:rPr>
                <w:rFonts w:hint="eastAsia" w:ascii="仿宋_GB2312" w:hAnsi="仿宋_GB2312" w:eastAsia="仿宋_GB2312" w:cs="仿宋_GB2312"/>
                <w:kern w:val="0"/>
                <w:sz w:val="24"/>
                <w:szCs w:val="24"/>
                <w:lang w:val="en-US" w:eastAsia="zh-CN"/>
              </w:rPr>
              <w:t>护“两个确立</w:t>
            </w:r>
            <w:r>
              <w:rPr>
                <w:rFonts w:hint="eastAsia" w:eastAsia="仿宋_GB2312" w:cs="Times New Roman"/>
                <w:kern w:val="0"/>
                <w:sz w:val="24"/>
                <w:szCs w:val="24"/>
                <w:lang w:val="en-US" w:eastAsia="zh-CN" w:bidi="ar"/>
              </w:rPr>
              <w:t>”</w:t>
            </w:r>
            <w:r>
              <w:rPr>
                <w:rFonts w:hint="eastAsia" w:ascii="仿宋_GB2312" w:hAnsi="仿宋_GB2312" w:eastAsia="仿宋_GB2312" w:cs="仿宋_GB2312"/>
                <w:kern w:val="0"/>
                <w:sz w:val="24"/>
                <w:szCs w:val="24"/>
                <w:lang w:val="en-US" w:eastAsia="zh-CN"/>
              </w:rPr>
              <w:t>、坚决做到“两个维护</w:t>
            </w:r>
            <w:r>
              <w:rPr>
                <w:rFonts w:hint="eastAsia"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eastAsia" w:ascii="Times New Roman" w:hAnsi="Times New Roman" w:eastAsia="仿宋_GB2312" w:cs="Times New Roman"/>
                <w:kern w:val="0"/>
                <w:sz w:val="24"/>
                <w:szCs w:val="24"/>
                <w:lang w:eastAsia="zh-CN"/>
              </w:rPr>
            </w:pPr>
            <w:r>
              <w:rPr>
                <w:rFonts w:hint="default" w:ascii="Times New Roman" w:hAnsi="Times New Roman" w:eastAsia="仿宋_GB2312" w:cs="Times New Roman"/>
                <w:kern w:val="0"/>
                <w:sz w:val="24"/>
                <w:szCs w:val="24"/>
                <w:lang w:val="en-US" w:eastAsia="zh-CN" w:bidi="ar-SA"/>
              </w:rPr>
              <w:t>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bidi="ar-SA"/>
              </w:rPr>
              <w:t>10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bidi="ar-SA"/>
              </w:rPr>
              <w:t>11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eastAsia" w:ascii="Times New Roman" w:hAnsi="Times New Roman" w:eastAsia="仿宋_GB2312" w:cs="Times New Roman"/>
                <w:kern w:val="0"/>
                <w:sz w:val="24"/>
                <w:szCs w:val="24"/>
                <w:lang w:eastAsia="zh-CN"/>
              </w:rPr>
            </w:pPr>
            <w:r>
              <w:rPr>
                <w:rFonts w:hint="default" w:ascii="Times New Roman" w:hAnsi="Times New Roman" w:eastAsia="仿宋_GB2312" w:cs="Times New Roman"/>
                <w:kern w:val="0"/>
                <w:sz w:val="24"/>
                <w:szCs w:val="24"/>
                <w:lang w:val="en-US" w:eastAsia="zh-CN" w:bidi="ar-SA"/>
              </w:rPr>
              <w:t>12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eastAsia" w:ascii="Times New Roman" w:hAnsi="Times New Roman" w:eastAsia="仿宋_GB2312" w:cs="Times New Roman"/>
                <w:kern w:val="0"/>
                <w:sz w:val="24"/>
                <w:szCs w:val="24"/>
                <w:lang w:eastAsia="zh-CN"/>
              </w:rPr>
            </w:pPr>
            <w:r>
              <w:rPr>
                <w:rFonts w:hint="default" w:ascii="Times New Roman" w:hAnsi="Times New Roman" w:eastAsia="仿宋_GB2312" w:cs="Times New Roman"/>
                <w:kern w:val="0"/>
                <w:sz w:val="24"/>
                <w:szCs w:val="24"/>
                <w:lang w:val="en-US" w:eastAsia="zh-CN" w:bidi="ar-SA"/>
              </w:rPr>
              <w:t>13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eastAsia" w:ascii="Times New Roman" w:hAnsi="Times New Roman" w:eastAsia="仿宋_GB2312" w:cs="Times New Roman"/>
                <w:kern w:val="0"/>
                <w:sz w:val="24"/>
                <w:szCs w:val="24"/>
                <w:lang w:eastAsia="zh-CN"/>
              </w:rPr>
            </w:pPr>
            <w:r>
              <w:rPr>
                <w:rFonts w:hint="default" w:ascii="Times New Roman" w:hAnsi="Times New Roman" w:eastAsia="仿宋_GB2312" w:cs="Times New Roman"/>
                <w:kern w:val="0"/>
                <w:sz w:val="24"/>
                <w:szCs w:val="24"/>
                <w:lang w:val="en-US" w:eastAsia="zh-CN" w:bidi="ar-SA"/>
              </w:rPr>
              <w:t>14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推进清廉六塘建设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落实人民代表大会制度，组织人大代表依法履职，推进特色履职平台建设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17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坚持党管武装，抓好征兵、民兵工作以及国防教育和基层武装部规范化建设，推进“双拥”共建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二、经济发展事项类别（4项）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w:t>
            </w:r>
            <w:r>
              <w:rPr>
                <w:rFonts w:hint="eastAsia" w:eastAsia="仿宋_GB2312" w:cs="Times New Roman"/>
                <w:kern w:val="0"/>
                <w:sz w:val="24"/>
                <w:szCs w:val="24"/>
                <w:lang w:val="en-US" w:eastAsia="zh-CN" w:bidi="ar-SA"/>
              </w:rPr>
              <w:t>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w:t>
            </w:r>
            <w:r>
              <w:rPr>
                <w:rFonts w:hint="eastAsia" w:eastAsia="仿宋_GB2312" w:cs="Times New Roman"/>
                <w:kern w:val="0"/>
                <w:sz w:val="24"/>
                <w:szCs w:val="24"/>
                <w:lang w:val="en-US" w:eastAsia="zh-CN" w:bidi="ar-SA"/>
              </w:rPr>
              <w:t>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w:t>
            </w:r>
            <w:r>
              <w:rPr>
                <w:rFonts w:hint="eastAsia" w:eastAsia="仿宋_GB2312" w:cs="Times New Roman"/>
                <w:kern w:val="0"/>
                <w:sz w:val="24"/>
                <w:szCs w:val="24"/>
                <w:lang w:val="en-US" w:eastAsia="zh-CN" w:bidi="ar-SA"/>
              </w:rPr>
              <w:t>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w:t>
            </w:r>
            <w:r>
              <w:rPr>
                <w:rFonts w:hint="eastAsia" w:eastAsia="仿宋_GB2312" w:cs="Times New Roman"/>
                <w:kern w:val="0"/>
                <w:sz w:val="24"/>
                <w:szCs w:val="24"/>
                <w:lang w:val="en-US" w:eastAsia="zh-CN" w:bidi="ar-SA"/>
              </w:rPr>
              <w:t>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三、民生服务事项类别（18项）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29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开展未成年人保护</w:t>
            </w:r>
            <w:r>
              <w:rPr>
                <w:rFonts w:hint="eastAsia" w:eastAsia="仿宋_GB2312" w:cs="Times New Roman"/>
                <w:kern w:val="0"/>
                <w:sz w:val="24"/>
                <w:szCs w:val="24"/>
                <w:lang w:val="en-US" w:eastAsia="zh-CN"/>
              </w:rPr>
              <w:t>法律法规政策</w:t>
            </w:r>
            <w:r>
              <w:rPr>
                <w:rFonts w:hint="default" w:ascii="Times New Roman" w:hAnsi="Times New Roman" w:eastAsia="仿宋_GB2312" w:cs="Times New Roman"/>
                <w:kern w:val="0"/>
                <w:sz w:val="24"/>
                <w:szCs w:val="24"/>
                <w:lang w:val="en-US" w:eastAsia="zh-CN"/>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开展对未达到登记条件的社区社会组织</w:t>
            </w:r>
            <w:r>
              <w:rPr>
                <w:rFonts w:hint="eastAsia" w:eastAsia="仿宋_GB2312" w:cs="Times New Roman"/>
                <w:kern w:val="0"/>
                <w:sz w:val="24"/>
                <w:szCs w:val="24"/>
                <w:lang w:val="en-US" w:eastAsia="zh-CN"/>
              </w:rPr>
              <w:t>的</w:t>
            </w:r>
            <w:r>
              <w:rPr>
                <w:rFonts w:hint="default" w:ascii="Times New Roman" w:hAnsi="Times New Roman" w:eastAsia="仿宋_GB2312" w:cs="Times New Roman"/>
                <w:kern w:val="0"/>
                <w:sz w:val="24"/>
                <w:szCs w:val="24"/>
                <w:lang w:val="en-US" w:eastAsia="zh-CN"/>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39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建好用好六塘镇康养中心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四、平安法治事项类别（</w:t>
            </w:r>
            <w:r>
              <w:rPr>
                <w:rStyle w:val="23"/>
                <w:rFonts w:hint="eastAsia" w:ascii="黑体" w:hAnsi="黑体" w:eastAsia="黑体" w:cs="黑体"/>
                <w:color w:val="auto"/>
                <w:lang w:val="en-US" w:eastAsia="zh-CN" w:bidi="ar"/>
              </w:rPr>
              <w:t>9</w:t>
            </w:r>
            <w:r>
              <w:rPr>
                <w:rStyle w:val="23"/>
                <w:rFonts w:hint="eastAsia" w:ascii="黑体" w:hAnsi="黑体" w:eastAsia="黑体" w:cs="黑体"/>
                <w:color w:val="auto"/>
                <w:lang w:eastAsia="zh-CN" w:bidi="ar"/>
              </w:rPr>
              <w:t>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45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开展社会治安风险防控、</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多网合一</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rPr>
              <w:t>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坚持和发展新时代</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枫桥经验</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rPr>
              <w:t>，开展社会矛盾和纠纷排查化解、风险预警及源头防范等工作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49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五、乡村振兴事项类别（14项）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59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开展农村集体</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三资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rPr>
              <w:t>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运用积分制、清单制</w:t>
            </w:r>
            <w:r>
              <w:rPr>
                <w:rFonts w:hint="eastAsia" w:eastAsia="仿宋_GB2312" w:cs="Times New Roman"/>
                <w:kern w:val="0"/>
                <w:sz w:val="24"/>
                <w:szCs w:val="24"/>
                <w:lang w:val="en-US" w:eastAsia="zh-CN"/>
              </w:rPr>
              <w:t>等方式</w:t>
            </w:r>
            <w:r>
              <w:rPr>
                <w:rFonts w:hint="default" w:ascii="Times New Roman" w:hAnsi="Times New Roman" w:eastAsia="仿宋_GB2312" w:cs="Times New Roman"/>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六、生态环保事项类别（6项）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68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SA"/>
              </w:rPr>
              <w:t>69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SA"/>
              </w:rPr>
              <w:t>70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七、城乡建设事项类别（13项）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79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八、文化和旅游事项类别（4项）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val="en-US"/>
              </w:rPr>
            </w:pPr>
            <w:r>
              <w:rPr>
                <w:rFonts w:hint="eastAsia" w:eastAsia="仿宋_GB2312" w:cs="Times New Roman"/>
                <w:kern w:val="0"/>
                <w:sz w:val="24"/>
                <w:szCs w:val="24"/>
                <w:lang w:val="en-US" w:eastAsia="zh-CN" w:bidi="ar-SA"/>
              </w:rPr>
              <w:t>85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w:t>
            </w:r>
            <w:r>
              <w:rPr>
                <w:rFonts w:hint="eastAsia" w:eastAsia="仿宋_GB2312" w:cs="Times New Roman"/>
                <w:kern w:val="0"/>
                <w:sz w:val="24"/>
                <w:szCs w:val="24"/>
                <w:lang w:val="en-US" w:eastAsia="zh-CN" w:bidi="ar-SA"/>
              </w:rPr>
              <w:t>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w:t>
            </w:r>
            <w:r>
              <w:rPr>
                <w:rFonts w:hint="eastAsia" w:eastAsia="仿宋_GB2312" w:cs="Times New Roman"/>
                <w:kern w:val="0"/>
                <w:sz w:val="24"/>
                <w:szCs w:val="24"/>
                <w:lang w:val="en-US" w:eastAsia="zh-CN" w:bidi="ar-SA"/>
              </w:rPr>
              <w:t>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w:t>
            </w:r>
            <w:r>
              <w:rPr>
                <w:rFonts w:hint="eastAsia" w:eastAsia="仿宋_GB2312" w:cs="Times New Roman"/>
                <w:kern w:val="0"/>
                <w:sz w:val="24"/>
                <w:szCs w:val="24"/>
                <w:lang w:val="en-US" w:eastAsia="zh-CN" w:bidi="ar-SA"/>
              </w:rPr>
              <w:t>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开展六塘</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糖文化</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rPr>
              <w:t>文旅产业工作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Style w:val="23"/>
                <w:rFonts w:hint="eastAsia" w:ascii="黑体" w:hAnsi="黑体" w:eastAsia="黑体" w:cs="黑体"/>
                <w:color w:val="auto"/>
                <w:lang w:eastAsia="zh-CN" w:bidi="ar"/>
              </w:rPr>
              <w:t>九、综合政务事项类别（15项）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89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94</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95</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96</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97</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98</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99</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100</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101</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bidi="ar-SA"/>
              </w:rPr>
              <w:t>102</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103</w:t>
            </w:r>
          </w:p>
        </w:tc>
        <w:tc>
          <w:tcPr>
            <w:tcW w:w="47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开展村（社区）财务审计和村（社区）</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两委</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班子成员任期经济责任审计工作</w:t>
            </w:r>
          </w:p>
        </w:tc>
      </w:tr>
    </w:tbl>
    <w:p>
      <w:pPr>
        <w:spacing w:line="57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br w:type="page"/>
      </w:r>
    </w:p>
    <w:p>
      <w:pPr>
        <w:pStyle w:val="4"/>
        <w:bidi w:val="0"/>
        <w:jc w:val="center"/>
        <w:rPr>
          <w:rFonts w:hint="default" w:ascii="方正小标宋简体" w:hAnsi="方正小标宋简体" w:eastAsia="方正小标宋简体" w:cs="方正小标宋简体"/>
          <w:kern w:val="0"/>
          <w:sz w:val="48"/>
          <w:szCs w:val="48"/>
          <w:lang w:val="en-US" w:eastAsia="zh-CN"/>
        </w:rPr>
      </w:pPr>
      <w:r>
        <w:rPr>
          <w:rFonts w:hint="eastAsia" w:ascii="方正小标宋简体" w:hAnsi="方正小标宋简体" w:eastAsia="方正小标宋简体" w:cs="方正小标宋简体"/>
          <w:b w:val="0"/>
          <w:bCs w:val="0"/>
          <w:sz w:val="44"/>
          <w:szCs w:val="44"/>
        </w:rPr>
        <w:t>配合履职事项清单</w:t>
      </w:r>
      <w:r>
        <w:rPr>
          <w:rFonts w:hint="eastAsia" w:ascii="方正小标宋简体" w:hAnsi="方正小标宋简体" w:eastAsia="方正小标宋简体" w:cs="方正小标宋简体"/>
          <w:b w:val="0"/>
          <w:bCs w:val="0"/>
          <w:sz w:val="48"/>
          <w:szCs w:val="48"/>
          <w:lang w:val="en-US" w:eastAsia="zh-CN"/>
        </w:rPr>
        <w:t xml:space="preserve">  </w:t>
      </w:r>
    </w:p>
    <w:tbl>
      <w:tblPr>
        <w:tblStyle w:val="15"/>
        <w:tblW w:w="4688" w:type="pct"/>
        <w:jc w:val="center"/>
        <w:tblLayout w:type="autofit"/>
        <w:tblCellMar>
          <w:top w:w="28" w:type="dxa"/>
          <w:left w:w="57" w:type="dxa"/>
          <w:bottom w:w="28" w:type="dxa"/>
          <w:right w:w="57" w:type="dxa"/>
        </w:tblCellMar>
      </w:tblPr>
      <w:tblGrid>
        <w:gridCol w:w="612"/>
        <w:gridCol w:w="2536"/>
        <w:gridCol w:w="2358"/>
        <w:gridCol w:w="6970"/>
        <w:gridCol w:w="7302"/>
      </w:tblGrid>
      <w:tr>
        <w:tblPrEx>
          <w:tblCellMar>
            <w:top w:w="28" w:type="dxa"/>
            <w:left w:w="57" w:type="dxa"/>
            <w:bottom w:w="28" w:type="dxa"/>
            <w:right w:w="57" w:type="dxa"/>
          </w:tblCellMar>
        </w:tblPrEx>
        <w:trPr>
          <w:cantSplit/>
          <w:trHeight w:val="567" w:hRule="atLeast"/>
          <w:tblHeader/>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对应上级部门</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tr>
        <w:tblPrEx>
          <w:tblCellMar>
            <w:top w:w="28" w:type="dxa"/>
            <w:left w:w="57" w:type="dxa"/>
            <w:bottom w:w="28" w:type="dxa"/>
            <w:right w:w="57" w:type="dxa"/>
          </w:tblCellMar>
        </w:tblPrEx>
        <w:trPr>
          <w:cantSplit/>
          <w:trHeight w:val="61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一、党的建设事项类别（1</w:t>
            </w:r>
            <w:r>
              <w:rPr>
                <w:rStyle w:val="23"/>
                <w:rFonts w:hint="eastAsia" w:ascii="黑体" w:hAnsi="黑体" w:eastAsia="黑体" w:cs="黑体"/>
                <w:color w:val="auto"/>
                <w:lang w:val="en-US" w:eastAsia="zh-CN" w:bidi="ar"/>
              </w:rPr>
              <w:t>1</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455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总工会、团县委、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妇联等相关部门</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（1）组织</w:t>
            </w:r>
            <w:r>
              <w:rPr>
                <w:rFonts w:hint="eastAsia" w:ascii="仿宋_GB2312" w:hAnsi="仿宋_GB2312" w:eastAsia="仿宋_GB2312" w:cs="仿宋_GB2312"/>
                <w:kern w:val="0"/>
                <w:sz w:val="24"/>
                <w:szCs w:val="24"/>
                <w:lang w:val="en-US" w:eastAsia="zh-CN" w:bidi="ar"/>
              </w:rPr>
              <w:t>开展“两优一先”等党内表彰激励工</w:t>
            </w:r>
            <w:r>
              <w:rPr>
                <w:rFonts w:hint="default" w:ascii="Times New Roman" w:hAnsi="Times New Roman" w:eastAsia="仿宋_GB2312" w:cs="Times New Roman"/>
                <w:kern w:val="0"/>
                <w:sz w:val="24"/>
                <w:szCs w:val="24"/>
                <w:lang w:val="en-US" w:eastAsia="zh-CN" w:bidi="ar"/>
              </w:rPr>
              <w:t>作；（2）负责</w:t>
            </w:r>
            <w:r>
              <w:rPr>
                <w:rFonts w:hint="eastAsia" w:ascii="仿宋_GB2312" w:hAnsi="仿宋_GB2312" w:eastAsia="仿宋_GB2312" w:cs="仿宋_GB2312"/>
                <w:kern w:val="0"/>
                <w:sz w:val="24"/>
                <w:szCs w:val="24"/>
                <w:lang w:val="en-US" w:eastAsia="zh-CN" w:bidi="ar"/>
              </w:rPr>
              <w:t>颁发“光荣在党50年”纪念章工</w:t>
            </w:r>
            <w:r>
              <w:rPr>
                <w:rFonts w:hint="default" w:ascii="Times New Roman" w:hAnsi="Times New Roman" w:eastAsia="仿宋_GB2312" w:cs="Times New Roman"/>
                <w:kern w:val="0"/>
                <w:sz w:val="24"/>
                <w:szCs w:val="24"/>
                <w:lang w:val="en-US" w:eastAsia="zh-CN" w:bidi="ar"/>
              </w:rPr>
              <w:t>作；（3）宣传表彰优秀农村基层干部先进典型；（4）收集、汇总、向上级</w:t>
            </w:r>
            <w:r>
              <w:rPr>
                <w:rFonts w:hint="eastAsia" w:ascii="仿宋_GB2312" w:hAnsi="仿宋_GB2312" w:eastAsia="仿宋_GB2312" w:cs="仿宋_GB2312"/>
                <w:kern w:val="0"/>
                <w:sz w:val="24"/>
                <w:szCs w:val="24"/>
                <w:lang w:val="en-US" w:eastAsia="zh-CN" w:bidi="ar"/>
              </w:rPr>
              <w:t>推选“最美公务员”、“人民满意的公务员”、“人民满意的公务员集体”等先进典型。</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委宣传</w:t>
            </w:r>
            <w:r>
              <w:rPr>
                <w:rFonts w:hint="eastAsia" w:ascii="仿宋_GB2312" w:hAnsi="仿宋_GB2312" w:eastAsia="仿宋_GB2312" w:cs="仿宋_GB2312"/>
                <w:b/>
                <w:bCs/>
                <w:kern w:val="0"/>
                <w:sz w:val="24"/>
                <w:szCs w:val="24"/>
                <w:lang w:val="en-US" w:eastAsia="zh-CN" w:bidi="ar"/>
              </w:rPr>
              <w:t>部：</w:t>
            </w:r>
            <w:r>
              <w:rPr>
                <w:rFonts w:hint="eastAsia" w:ascii="仿宋_GB2312" w:hAnsi="仿宋_GB2312" w:eastAsia="仿宋_GB2312" w:cs="仿宋_GB2312"/>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266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组织推荐、选举县级及以上</w:t>
            </w:r>
            <w:r>
              <w:rPr>
                <w:rFonts w:hint="eastAsia" w:ascii="仿宋_GB2312" w:hAnsi="仿宋_GB2312" w:eastAsia="仿宋_GB2312" w:cs="仿宋_GB2312"/>
                <w:kern w:val="0"/>
                <w:sz w:val="24"/>
                <w:szCs w:val="24"/>
                <w:lang w:val="en-US" w:eastAsia="zh-CN" w:bidi="ar"/>
              </w:rPr>
              <w:t>“两代表一委员”</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委统战部，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政协机关</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289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cantSplit/>
          <w:trHeight w:val="2645"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cantSplit/>
          <w:trHeight w:val="457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做好驻村工作队员管理工作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w:t>
            </w:r>
            <w:r>
              <w:rPr>
                <w:rFonts w:hint="eastAsia" w:eastAsia="仿宋_GB2312" w:cs="Times New Roman"/>
                <w:kern w:val="0"/>
                <w:sz w:val="24"/>
                <w:szCs w:val="24"/>
                <w:lang w:val="en-US" w:eastAsia="zh-CN" w:bidi="ar"/>
              </w:rPr>
              <w:t>给</w:t>
            </w:r>
            <w:r>
              <w:rPr>
                <w:rFonts w:hint="default" w:ascii="Times New Roman" w:hAnsi="Times New Roman" w:eastAsia="仿宋_GB2312" w:cs="Times New Roman"/>
                <w:kern w:val="0"/>
                <w:sz w:val="24"/>
                <w:szCs w:val="24"/>
                <w:lang w:val="en-US" w:eastAsia="zh-CN" w:bidi="ar"/>
              </w:rPr>
              <w:t>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统筹推进强村富民各项工作，开展相关技术培训。</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cantSplit/>
          <w:trHeight w:val="505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建好管好村级组织活动场所</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委社会工作部，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 xml:space="preserve">负责项目设计和质量监督。 </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cantSplit/>
          <w:trHeight w:val="382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w:t>
            </w:r>
            <w:r>
              <w:rPr>
                <w:rFonts w:hint="eastAsia" w:ascii="仿宋_GB2312" w:hAnsi="仿宋_GB2312" w:eastAsia="仿宋_GB2312" w:cs="仿宋_GB2312"/>
                <w:kern w:val="0"/>
                <w:sz w:val="24"/>
                <w:szCs w:val="24"/>
                <w:lang w:val="en-US" w:eastAsia="zh-CN" w:bidi="ar"/>
              </w:rPr>
              <w:t>区“两委”正</w:t>
            </w:r>
            <w:r>
              <w:rPr>
                <w:rFonts w:hint="default" w:ascii="Times New Roman" w:hAnsi="Times New Roman" w:eastAsia="仿宋_GB2312" w:cs="Times New Roman"/>
                <w:kern w:val="0"/>
                <w:sz w:val="24"/>
                <w:szCs w:val="24"/>
                <w:lang w:val="en-US" w:eastAsia="zh-CN" w:bidi="ar"/>
              </w:rPr>
              <w:t>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cantSplit/>
          <w:trHeight w:val="229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开展纪检监察联动协作工作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纪委监委机关</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cantSplit/>
          <w:trHeight w:val="256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开展巡视</w:t>
            </w:r>
            <w:r>
              <w:rPr>
                <w:rFonts w:hint="eastAsia" w:eastAsia="仿宋_GB2312" w:cs="Times New Roman"/>
                <w:kern w:val="0"/>
                <w:sz w:val="24"/>
                <w:szCs w:val="24"/>
                <w:lang w:val="en-US" w:eastAsia="zh-CN" w:bidi="ar"/>
              </w:rPr>
              <w:t>保障和</w:t>
            </w:r>
            <w:r>
              <w:rPr>
                <w:rFonts w:hint="default" w:ascii="Times New Roman" w:hAnsi="Times New Roman" w:eastAsia="仿宋_GB2312" w:cs="Times New Roman"/>
                <w:kern w:val="0"/>
                <w:sz w:val="24"/>
                <w:szCs w:val="24"/>
                <w:lang w:val="en-US" w:eastAsia="zh-CN" w:bidi="ar"/>
              </w:rPr>
              <w:t>巡察工作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委巡察办</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cantSplit/>
          <w:trHeight w:val="3711"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做好党史、地方志（年鉴）编纂工作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史志办公室</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收集、整理、撰写党史</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cantSplit/>
          <w:trHeight w:val="372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组织县人大代表（</w:t>
            </w:r>
            <w:r>
              <w:rPr>
                <w:rFonts w:hint="eastAsia" w:eastAsia="仿宋_GB2312" w:cs="Times New Roman"/>
                <w:kern w:val="0"/>
                <w:sz w:val="24"/>
                <w:szCs w:val="24"/>
                <w:lang w:val="en-US" w:eastAsia="zh-CN" w:bidi="ar"/>
              </w:rPr>
              <w:t>六塘</w:t>
            </w:r>
            <w:r>
              <w:rPr>
                <w:rFonts w:hint="default" w:ascii="Times New Roman" w:hAnsi="Times New Roman" w:eastAsia="仿宋_GB2312" w:cs="Times New Roman"/>
                <w:kern w:val="0"/>
                <w:sz w:val="24"/>
                <w:szCs w:val="24"/>
                <w:lang w:val="en-US" w:eastAsia="zh-CN" w:bidi="ar"/>
              </w:rPr>
              <w:t>团）参加县人民代表大会及开展调研、视察、实践等工作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w:t>
            </w:r>
            <w:r>
              <w:rPr>
                <w:rFonts w:hint="eastAsia" w:eastAsia="仿宋_GB2312" w:cs="Times New Roman"/>
                <w:kern w:val="0"/>
                <w:sz w:val="24"/>
                <w:szCs w:val="24"/>
                <w:lang w:val="en-US" w:eastAsia="zh-CN" w:bidi="ar"/>
              </w:rPr>
              <w:t>六塘</w:t>
            </w:r>
            <w:r>
              <w:rPr>
                <w:rFonts w:hint="default" w:ascii="Times New Roman" w:hAnsi="Times New Roman" w:eastAsia="仿宋_GB2312" w:cs="Times New Roman"/>
                <w:kern w:val="0"/>
                <w:sz w:val="24"/>
                <w:szCs w:val="24"/>
                <w:lang w:val="en-US" w:eastAsia="zh-CN" w:bidi="ar"/>
              </w:rPr>
              <w:t>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w:t>
            </w:r>
            <w:r>
              <w:rPr>
                <w:rFonts w:hint="eastAsia" w:eastAsia="仿宋_GB2312" w:cs="Times New Roman"/>
                <w:color w:val="auto"/>
                <w:kern w:val="0"/>
                <w:sz w:val="24"/>
                <w:szCs w:val="24"/>
                <w:highlight w:val="none"/>
                <w:lang w:val="en-US" w:eastAsia="zh-CN" w:bidi="ar"/>
              </w:rPr>
              <w:t>六塘</w:t>
            </w:r>
            <w:r>
              <w:rPr>
                <w:rFonts w:hint="default" w:ascii="Times New Roman" w:hAnsi="Times New Roman" w:eastAsia="仿宋_GB2312" w:cs="Times New Roman"/>
                <w:color w:val="auto"/>
                <w:kern w:val="0"/>
                <w:sz w:val="24"/>
                <w:szCs w:val="24"/>
                <w:highlight w:val="none"/>
                <w:lang w:val="en-US" w:eastAsia="zh-CN" w:bidi="ar"/>
              </w:rPr>
              <w:t>团）调研视察等工作。</w:t>
            </w:r>
          </w:p>
        </w:tc>
      </w:tr>
      <w:tr>
        <w:tblPrEx>
          <w:tblCellMar>
            <w:top w:w="28" w:type="dxa"/>
            <w:left w:w="57" w:type="dxa"/>
            <w:bottom w:w="28" w:type="dxa"/>
            <w:right w:w="57" w:type="dxa"/>
          </w:tblCellMar>
        </w:tblPrEx>
        <w:trPr>
          <w:cantSplit/>
          <w:trHeight w:val="72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二、平安法治事项类别（</w:t>
            </w:r>
            <w:r>
              <w:rPr>
                <w:rStyle w:val="23"/>
                <w:rFonts w:hint="eastAsia" w:ascii="黑体" w:hAnsi="黑体" w:eastAsia="黑体" w:cs="黑体"/>
                <w:color w:val="auto"/>
                <w:lang w:val="en-US" w:eastAsia="zh-CN" w:bidi="ar"/>
              </w:rPr>
              <w:t>2</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311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cantSplit/>
          <w:trHeight w:val="5011"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开展基层法律服务工作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cantSplit/>
          <w:trHeight w:val="78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三、乡村振兴事项类别（6项）</w:t>
            </w:r>
          </w:p>
        </w:tc>
      </w:tr>
      <w:tr>
        <w:tblPrEx>
          <w:tblCellMar>
            <w:top w:w="28" w:type="dxa"/>
            <w:left w:w="57" w:type="dxa"/>
            <w:bottom w:w="28" w:type="dxa"/>
            <w:right w:w="57" w:type="dxa"/>
          </w:tblCellMar>
        </w:tblPrEx>
        <w:trPr>
          <w:cantSplit/>
          <w:trHeight w:val="288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做好动物疫病预防控制工作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cantSplit/>
          <w:trHeight w:val="432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做好农村供水用水管理工作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204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开展基层科普工作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cantSplit/>
          <w:trHeight w:val="2621"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开展农机管理服务工作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cantSplit/>
          <w:trHeight w:val="365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开展农业保险工作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cantSplit/>
          <w:trHeight w:val="329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19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做好农村产权流转交易服务工作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cantSplit/>
          <w:trHeight w:val="679"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四、社会管理事项类别（</w:t>
            </w:r>
            <w:r>
              <w:rPr>
                <w:rStyle w:val="23"/>
                <w:rFonts w:hint="eastAsia" w:ascii="黑体" w:hAnsi="黑体" w:eastAsia="黑体" w:cs="黑体"/>
                <w:color w:val="auto"/>
                <w:lang w:val="en-US" w:eastAsia="zh-CN" w:bidi="ar"/>
              </w:rPr>
              <w:t>15</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458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20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开展防范和处置非法集资工作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eastAsia="仿宋_GB2312" w:cs="Times New Roman"/>
                <w:kern w:val="0"/>
                <w:sz w:val="24"/>
                <w:szCs w:val="24"/>
                <w:lang w:val="en-US" w:eastAsia="zh-CN" w:bidi="ar"/>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72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（1）做好本镇防范非法集资宣传教育；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cantSplit/>
          <w:trHeight w:val="458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流动人口服务管理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cantSplit/>
          <w:trHeight w:val="245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开展殡葬管理工作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cantSplit/>
          <w:trHeight w:val="272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行政复议</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（3）明确法律顾问，负责本</w:t>
            </w:r>
            <w:r>
              <w:rPr>
                <w:rFonts w:hint="eastAsia" w:eastAsia="仿宋_GB2312" w:cs="Times New Roman"/>
                <w:kern w:val="0"/>
                <w:sz w:val="24"/>
                <w:szCs w:val="24"/>
                <w:lang w:val="en-US" w:eastAsia="zh-CN" w:bidi="ar"/>
              </w:rPr>
              <w:t>镇</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cantSplit/>
          <w:trHeight w:val="157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落实审计监督工作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w:t>
            </w:r>
            <w:r>
              <w:rPr>
                <w:rFonts w:hint="eastAsia"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cantSplit/>
          <w:trHeight w:val="5973"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开展社会保险经办服务</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cantSplit/>
          <w:trHeight w:val="9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cantSplit/>
          <w:trHeight w:val="3171"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开展卫星地面接收设施管理工作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cantSplit/>
          <w:trHeight w:val="45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开展物业监督管理工作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cantSplit/>
          <w:trHeight w:val="419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29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开展行政执法监督工作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337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cantSplit/>
          <w:trHeight w:val="337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开展油气长输管道保护相关工作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（3）排除油气长输管道的重大外部安全隐患。</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（2）开展油气长输管道周边</w:t>
            </w:r>
            <w:r>
              <w:rPr>
                <w:rFonts w:hint="eastAsia" w:eastAsia="仿宋_GB2312" w:cs="Times New Roman"/>
                <w:kern w:val="0"/>
                <w:sz w:val="24"/>
                <w:szCs w:val="24"/>
                <w:lang w:val="en-US" w:eastAsia="zh-CN" w:bidi="ar"/>
              </w:rPr>
              <w:t>环境</w:t>
            </w:r>
            <w:r>
              <w:rPr>
                <w:rFonts w:hint="default" w:ascii="Times New Roman" w:hAnsi="Times New Roman" w:eastAsia="仿宋_GB2312" w:cs="Times New Roman"/>
                <w:kern w:val="0"/>
                <w:sz w:val="24"/>
                <w:szCs w:val="24"/>
                <w:lang w:val="en-US" w:eastAsia="zh-CN" w:bidi="ar"/>
              </w:rPr>
              <w:t>综合治理</w:t>
            </w:r>
            <w:r>
              <w:rPr>
                <w:rFonts w:hint="eastAsia" w:eastAsia="仿宋_GB2312" w:cs="Times New Roman"/>
                <w:kern w:val="0"/>
                <w:sz w:val="24"/>
                <w:szCs w:val="24"/>
                <w:lang w:val="en-US" w:eastAsia="zh-CN" w:bidi="ar"/>
              </w:rPr>
              <w:t>，消除安全隐患</w:t>
            </w:r>
            <w:r>
              <w:rPr>
                <w:rFonts w:hint="default" w:ascii="Times New Roman" w:hAnsi="Times New Roman" w:eastAsia="仿宋_GB2312" w:cs="Times New Roman"/>
                <w:kern w:val="0"/>
                <w:sz w:val="24"/>
                <w:szCs w:val="24"/>
                <w:lang w:val="en-US" w:eastAsia="zh-CN" w:bidi="ar"/>
              </w:rPr>
              <w:t>。</w:t>
            </w:r>
          </w:p>
        </w:tc>
      </w:tr>
      <w:tr>
        <w:tblPrEx>
          <w:tblCellMar>
            <w:top w:w="28" w:type="dxa"/>
            <w:left w:w="57" w:type="dxa"/>
            <w:bottom w:w="28" w:type="dxa"/>
            <w:right w:w="57" w:type="dxa"/>
          </w:tblCellMar>
        </w:tblPrEx>
        <w:trPr>
          <w:cantSplit/>
          <w:trHeight w:val="1653"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cantSplit/>
          <w:trHeight w:val="295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敬老院运营管理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（2）协助做好本镇敬老院日常运营工作；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cantSplit/>
          <w:trHeight w:val="410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34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畜牧水产养殖兽医技术推广工作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（2）对本镇养殖户进行技术指导与服务，了解</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cantSplit/>
          <w:trHeight w:val="64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五、社会保障事项类别（</w:t>
            </w:r>
            <w:r>
              <w:rPr>
                <w:rStyle w:val="23"/>
                <w:rFonts w:hint="eastAsia" w:ascii="黑体" w:hAnsi="黑体" w:eastAsia="黑体" w:cs="黑体"/>
                <w:color w:val="auto"/>
                <w:lang w:val="en-US" w:eastAsia="zh-CN" w:bidi="ar"/>
              </w:rPr>
              <w:t>9</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443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w:t>
            </w:r>
            <w:r>
              <w:rPr>
                <w:rFonts w:hint="eastAsia" w:eastAsia="仿宋_GB2312" w:cs="Times New Roman"/>
                <w:kern w:val="2"/>
                <w:sz w:val="24"/>
                <w:szCs w:val="24"/>
                <w:lang w:val="en-US" w:eastAsia="zh-CN" w:bidi="ar-SA"/>
              </w:rPr>
              <w:t>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做好无障碍环境设施建设工作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cantSplit/>
          <w:trHeight w:val="45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w:t>
            </w:r>
            <w:r>
              <w:rPr>
                <w:rFonts w:hint="eastAsia" w:eastAsia="仿宋_GB2312" w:cs="Times New Roman"/>
                <w:kern w:val="2"/>
                <w:sz w:val="24"/>
                <w:szCs w:val="24"/>
                <w:lang w:val="en-US" w:eastAsia="zh-CN" w:bidi="ar-SA"/>
              </w:rPr>
              <w:t>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抓好学前教育发展和管理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cantSplit/>
          <w:trHeight w:val="242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w:t>
            </w:r>
            <w:r>
              <w:rPr>
                <w:rFonts w:hint="eastAsia" w:eastAsia="仿宋_GB2312" w:cs="Times New Roman"/>
                <w:kern w:val="2"/>
                <w:sz w:val="24"/>
                <w:szCs w:val="24"/>
                <w:lang w:val="en-US" w:eastAsia="zh-CN" w:bidi="ar-SA"/>
              </w:rPr>
              <w:t>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175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w:t>
            </w:r>
            <w:r>
              <w:rPr>
                <w:rFonts w:hint="eastAsia" w:eastAsia="仿宋_GB2312" w:cs="Times New Roman"/>
                <w:kern w:val="2"/>
                <w:sz w:val="24"/>
                <w:szCs w:val="24"/>
                <w:lang w:val="en-US" w:eastAsia="zh-CN" w:bidi="ar-SA"/>
              </w:rPr>
              <w:t>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开展追回违规领取救助金工作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（1）负责追回</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（1）开展对</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cantSplit/>
          <w:trHeight w:val="3373"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3</w:t>
            </w:r>
            <w:r>
              <w:rPr>
                <w:rFonts w:hint="eastAsia" w:eastAsia="仿宋_GB2312" w:cs="Times New Roman"/>
                <w:kern w:val="2"/>
                <w:sz w:val="24"/>
                <w:szCs w:val="24"/>
                <w:lang w:val="en-US" w:eastAsia="zh-CN" w:bidi="ar-SA"/>
              </w:rPr>
              <w:t>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cantSplit/>
          <w:trHeight w:val="45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lang w:val="en-US"/>
              </w:rPr>
            </w:pPr>
            <w:r>
              <w:rPr>
                <w:rFonts w:hint="eastAsia" w:eastAsia="仿宋_GB2312" w:cs="Times New Roman"/>
                <w:kern w:val="2"/>
                <w:sz w:val="24"/>
                <w:szCs w:val="24"/>
                <w:lang w:val="en-US" w:eastAsia="zh-CN" w:bidi="ar-SA"/>
              </w:rPr>
              <w:t>40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财政局：</w:t>
            </w:r>
            <w:r>
              <w:rPr>
                <w:rFonts w:hint="eastAsia" w:ascii="仿宋_GB2312" w:hAnsi="仿宋_GB2312" w:eastAsia="仿宋_GB2312" w:cs="仿宋_GB2312"/>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人力资源社会保障局：</w:t>
            </w:r>
            <w:r>
              <w:rPr>
                <w:rFonts w:hint="eastAsia" w:ascii="仿宋_GB2312" w:hAnsi="仿宋_GB2312" w:eastAsia="仿宋_GB2312" w:cs="仿宋_GB2312"/>
                <w:b w:val="0"/>
                <w:bCs w:val="0"/>
                <w:kern w:val="0"/>
                <w:sz w:val="24"/>
                <w:szCs w:val="24"/>
                <w:lang w:val="en-US" w:eastAsia="zh-CN" w:bidi="ar"/>
              </w:rPr>
              <w:t>负责</w:t>
            </w:r>
            <w:r>
              <w:rPr>
                <w:rFonts w:hint="eastAsia" w:ascii="仿宋_GB2312" w:hAnsi="仿宋_GB2312"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自然资源和规划局：</w:t>
            </w:r>
            <w:r>
              <w:rPr>
                <w:rFonts w:hint="eastAsia" w:ascii="仿宋_GB2312" w:hAnsi="仿宋_GB2312" w:eastAsia="仿宋_GB2312" w:cs="仿宋_GB2312"/>
                <w:kern w:val="0"/>
                <w:sz w:val="24"/>
                <w:szCs w:val="24"/>
                <w:lang w:val="en-US" w:eastAsia="zh-CN" w:bidi="ar"/>
              </w:rPr>
              <w:t>负责土地征收的合法性、被征地农民失地面积审核。</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农业农村局：</w:t>
            </w:r>
            <w:r>
              <w:rPr>
                <w:rFonts w:hint="eastAsia" w:ascii="仿宋_GB2312" w:hAnsi="仿宋_GB2312"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征地拆迁和房屋征收补偿中心：</w:t>
            </w:r>
            <w:r>
              <w:rPr>
                <w:rFonts w:hint="eastAsia" w:ascii="仿宋_GB2312" w:hAnsi="仿宋_GB2312"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cantSplit/>
          <w:trHeight w:val="9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落实惠农财政补贴审批发放</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仿宋_GB2312" w:hAnsi="仿宋_GB2312" w:eastAsia="仿宋_GB2312" w:cs="仿宋_GB2312"/>
                <w:kern w:val="0"/>
                <w:sz w:val="24"/>
                <w:szCs w:val="24"/>
                <w:lang w:val="en-US" w:eastAsia="zh-CN" w:bidi="ar"/>
              </w:rPr>
              <w:t>农惠民“一卡通”系统管理维护。</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cantSplit/>
          <w:trHeight w:val="2965"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农村特困人员供养对象集中供养</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cantSplit/>
          <w:trHeight w:val="3053"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开展水库移民后期扶持工作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（1）建立本镇</w:t>
            </w:r>
            <w:r>
              <w:rPr>
                <w:rFonts w:hint="eastAsia" w:eastAsia="仿宋_GB2312" w:cs="Times New Roman"/>
                <w:kern w:val="0"/>
                <w:sz w:val="24"/>
                <w:szCs w:val="24"/>
                <w:lang w:val="en-US" w:eastAsia="zh-CN" w:bidi="ar"/>
              </w:rPr>
              <w:t>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cantSplit/>
          <w:trHeight w:val="79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六、自然资源事项类别（</w:t>
            </w:r>
            <w:r>
              <w:rPr>
                <w:rStyle w:val="23"/>
                <w:rFonts w:hint="eastAsia" w:ascii="黑体" w:hAnsi="黑体" w:eastAsia="黑体" w:cs="黑体"/>
                <w:color w:val="auto"/>
                <w:lang w:val="en-US" w:eastAsia="zh-CN" w:bidi="ar"/>
              </w:rPr>
              <w:t>5</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371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eastAsia="仿宋_GB2312" w:cs="Times New Roman"/>
                <w:kern w:val="0"/>
                <w:sz w:val="24"/>
                <w:szCs w:val="24"/>
                <w:lang w:val="en-US" w:eastAsia="zh-CN" w:bidi="ar"/>
              </w:rPr>
              <w:t>长效监管制度，定期开展检查工作并做好管护工作。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cantSplit/>
          <w:trHeight w:val="367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开展矿产资源保护和监管工作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cantSplit/>
          <w:trHeight w:val="456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cantSplit/>
          <w:trHeight w:val="373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建设项目占用林地审批管理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367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w:t>
            </w:r>
            <w:r>
              <w:rPr>
                <w:rFonts w:hint="eastAsia" w:eastAsia="仿宋_GB2312" w:cs="Times New Roman"/>
                <w:kern w:val="2"/>
                <w:sz w:val="24"/>
                <w:szCs w:val="24"/>
                <w:lang w:val="en-US" w:eastAsia="zh-CN" w:bidi="ar-SA"/>
              </w:rPr>
              <w:t>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开展国土调查工作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cantSplit/>
          <w:trHeight w:val="673"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七、生态环保事项类别（</w:t>
            </w:r>
            <w:r>
              <w:rPr>
                <w:rStyle w:val="23"/>
                <w:rFonts w:hint="eastAsia" w:ascii="黑体" w:hAnsi="黑体" w:eastAsia="黑体" w:cs="黑体"/>
                <w:color w:val="auto"/>
                <w:lang w:val="en-US" w:eastAsia="zh-CN" w:bidi="ar"/>
              </w:rPr>
              <w:t>8</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230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49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开展古树名木保护管理工作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cantSplit/>
          <w:trHeight w:val="285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开展野生动植物保护工作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cantSplit/>
          <w:trHeight w:val="263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防治农作物病虫害</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cantSplit/>
          <w:trHeight w:val="278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开展水土保持工作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328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做好畜禽养殖污染防治工作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cantSplit/>
          <w:trHeight w:val="6261"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开展水污染防治工作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cantSplit/>
          <w:trHeight w:val="506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开展噪声污染防治工作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cantSplit/>
          <w:trHeight w:val="218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56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做好固体废物污染防治工作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cantSplit/>
          <w:trHeight w:val="634"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八、城乡建设事项类别（1</w:t>
            </w:r>
            <w:r>
              <w:rPr>
                <w:rStyle w:val="23"/>
                <w:rFonts w:hint="eastAsia" w:ascii="黑体" w:hAnsi="黑体" w:eastAsia="黑体" w:cs="黑体"/>
                <w:color w:val="auto"/>
                <w:lang w:val="en-US" w:eastAsia="zh-CN" w:bidi="ar"/>
              </w:rPr>
              <w:t>1</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363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开展自建房安全管理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cantSplit/>
          <w:trHeight w:val="393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开展农村危房改造工作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cantSplit/>
          <w:trHeight w:val="461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59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办理农用地转用审批</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cantSplit/>
          <w:trHeight w:val="3151"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做好电力设施和电能保护</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cantSplit/>
          <w:trHeight w:val="391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开展行政区划、界线、地名管理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cantSplit/>
          <w:trHeight w:val="259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开展农村能源建设与管理工作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cantSplit/>
          <w:trHeight w:val="311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实施农田水利建设和管理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cantSplit/>
          <w:trHeight w:val="256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开展农村厕所革命</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仿宋_GB2312" w:hAnsi="仿宋_GB2312"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cantSplit/>
          <w:trHeight w:val="7014"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预防非职业性一氧化碳中毒</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cantSplit/>
          <w:trHeight w:val="2995"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66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开展排水与污水处理工作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w:t>
            </w:r>
          </w:p>
        </w:tc>
      </w:tr>
      <w:tr>
        <w:tblPrEx>
          <w:tblCellMar>
            <w:top w:w="28" w:type="dxa"/>
            <w:left w:w="57" w:type="dxa"/>
            <w:bottom w:w="28" w:type="dxa"/>
            <w:right w:w="57" w:type="dxa"/>
          </w:tblCellMar>
        </w:tblPrEx>
        <w:trPr>
          <w:cantSplit/>
          <w:trHeight w:val="264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67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负责不动产权籍调查及登记工作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cantSplit/>
          <w:trHeight w:val="70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九、交通运输事项类别（3项）</w:t>
            </w:r>
          </w:p>
        </w:tc>
      </w:tr>
      <w:tr>
        <w:tblPrEx>
          <w:tblCellMar>
            <w:top w:w="28" w:type="dxa"/>
            <w:left w:w="57" w:type="dxa"/>
            <w:bottom w:w="28" w:type="dxa"/>
            <w:right w:w="57" w:type="dxa"/>
          </w:tblCellMar>
        </w:tblPrEx>
        <w:trPr>
          <w:cantSplit/>
          <w:trHeight w:val="278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lang w:bidi="ar"/>
              </w:rPr>
            </w:pPr>
            <w:r>
              <w:rPr>
                <w:rFonts w:hint="default" w:ascii="Times New Roman" w:hAnsi="Times New Roman" w:eastAsia="仿宋_GB2312" w:cs="Times New Roman"/>
                <w:kern w:val="0"/>
                <w:sz w:val="24"/>
                <w:szCs w:val="24"/>
                <w:lang w:val="en-US" w:eastAsia="zh-CN" w:bidi="ar"/>
              </w:rPr>
              <w:t>6</w:t>
            </w:r>
            <w:r>
              <w:rPr>
                <w:rFonts w:hint="eastAsia" w:eastAsia="仿宋_GB2312" w:cs="Times New Roman"/>
                <w:kern w:val="0"/>
                <w:sz w:val="24"/>
                <w:szCs w:val="24"/>
                <w:lang w:val="en-US" w:eastAsia="zh-CN" w:bidi="ar"/>
              </w:rPr>
              <w:t>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开展铁路护路工作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（1）开展保障铁路安全和加强铁路运输安全的宣传教育；</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（2）开展日常巡查，防范和制止危害铁路安全和铁路运输安全的行为；</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（3）协调和处理保障铁路安全的有关事项，做好保障铁路安全和运输安全的有关工作；</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（4）落实护路联防责任制、双段长责任制。</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（1）开展宣传教育活动；</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（2）协助开展铁路沿线的安全巡查；</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（3）配合铁路护路相关执法。</w:t>
            </w:r>
          </w:p>
        </w:tc>
      </w:tr>
      <w:tr>
        <w:tblPrEx>
          <w:tblCellMar>
            <w:top w:w="28" w:type="dxa"/>
            <w:left w:w="57" w:type="dxa"/>
            <w:bottom w:w="28" w:type="dxa"/>
            <w:right w:w="57" w:type="dxa"/>
          </w:tblCellMar>
        </w:tblPrEx>
        <w:trPr>
          <w:cantSplit/>
          <w:trHeight w:val="290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lang w:val="en-US"/>
              </w:rPr>
            </w:pPr>
            <w:r>
              <w:rPr>
                <w:rFonts w:hint="eastAsia" w:eastAsia="仿宋_GB2312" w:cs="Times New Roman"/>
                <w:kern w:val="2"/>
                <w:sz w:val="24"/>
                <w:szCs w:val="24"/>
                <w:lang w:val="en-US" w:eastAsia="zh-CN" w:bidi="ar-SA"/>
              </w:rPr>
              <w:t>69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开展道路交通安全管理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206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lang w:val="en-US"/>
              </w:rPr>
            </w:pPr>
            <w:r>
              <w:rPr>
                <w:rFonts w:hint="eastAsia" w:eastAsia="仿宋_GB2312" w:cs="Times New Roman"/>
                <w:kern w:val="2"/>
                <w:sz w:val="24"/>
                <w:szCs w:val="24"/>
                <w:lang w:val="en-US" w:eastAsia="zh-CN" w:bidi="ar-SA"/>
              </w:rPr>
              <w:t>70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cantSplit/>
          <w:trHeight w:val="70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十、商贸流通事项类别（2项）</w:t>
            </w:r>
          </w:p>
        </w:tc>
      </w:tr>
      <w:tr>
        <w:tblPrEx>
          <w:tblCellMar>
            <w:top w:w="28" w:type="dxa"/>
            <w:left w:w="57" w:type="dxa"/>
            <w:bottom w:w="28" w:type="dxa"/>
            <w:right w:w="57" w:type="dxa"/>
          </w:tblCellMar>
        </w:tblPrEx>
        <w:trPr>
          <w:cantSplit/>
          <w:trHeight w:val="268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促进农村电子商务发展</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仿宋_GB2312" w:hAnsi="仿宋_GB2312"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cantSplit/>
          <w:trHeight w:val="3845"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开展粮食收储工作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kern w:val="0"/>
                <w:sz w:val="24"/>
                <w:szCs w:val="24"/>
                <w:lang w:val="en-US" w:eastAsia="zh-CN" w:bidi="ar"/>
              </w:rPr>
              <w:t>。</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cantSplit/>
          <w:trHeight w:val="63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十一、文化和旅游事项类别（5项）</w:t>
            </w:r>
          </w:p>
        </w:tc>
      </w:tr>
      <w:tr>
        <w:tblPrEx>
          <w:tblCellMar>
            <w:top w:w="28" w:type="dxa"/>
            <w:left w:w="57" w:type="dxa"/>
            <w:bottom w:w="28" w:type="dxa"/>
            <w:right w:w="57" w:type="dxa"/>
          </w:tblCellMar>
        </w:tblPrEx>
        <w:trPr>
          <w:cantSplit/>
          <w:trHeight w:val="289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做好对娱乐场所经营活动的监管</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cantSplit/>
          <w:trHeight w:val="187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做好旅游业发展和监督管理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（1）开展本镇旅游</w:t>
            </w:r>
            <w:r>
              <w:rPr>
                <w:rFonts w:hint="eastAsia"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（3）开展本镇旅行社、酒店、景点日常巡查，发现问题督促整改，并及时报告上级部门。</w:t>
            </w:r>
          </w:p>
        </w:tc>
      </w:tr>
      <w:tr>
        <w:tblPrEx>
          <w:tblCellMar>
            <w:top w:w="28" w:type="dxa"/>
            <w:left w:w="57" w:type="dxa"/>
            <w:bottom w:w="28" w:type="dxa"/>
            <w:right w:w="57" w:type="dxa"/>
          </w:tblCellMar>
        </w:tblPrEx>
        <w:trPr>
          <w:cantSplit/>
          <w:trHeight w:val="3222"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w:t>
            </w:r>
            <w:r>
              <w:rPr>
                <w:rFonts w:hint="eastAsia" w:ascii="仿宋_GB2312" w:hAnsi="仿宋_GB2312"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仿宋_GB2312" w:hAnsi="仿宋_GB2312" w:eastAsia="仿宋_GB2312" w:cs="仿宋_GB2312"/>
                <w:b/>
                <w:bCs/>
                <w:kern w:val="0"/>
                <w:sz w:val="24"/>
                <w:szCs w:val="24"/>
                <w:lang w:val="en-US" w:eastAsia="zh-CN" w:bidi="ar"/>
              </w:rPr>
              <w:t>宣传部：</w:t>
            </w:r>
            <w:r>
              <w:rPr>
                <w:rFonts w:hint="eastAsia" w:ascii="仿宋_GB2312" w:hAnsi="仿宋_GB2312" w:eastAsia="仿宋_GB2312" w:cs="仿宋_GB2312"/>
                <w:kern w:val="0"/>
                <w:sz w:val="24"/>
                <w:szCs w:val="24"/>
                <w:lang w:val="en-US" w:eastAsia="zh-CN" w:bidi="ar"/>
              </w:rPr>
              <w:t>负责统筹协调“扫黄打非”工作。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教育局：</w:t>
            </w:r>
            <w:r>
              <w:rPr>
                <w:rFonts w:hint="eastAsia" w:ascii="仿宋_GB2312" w:hAnsi="仿宋_GB2312" w:eastAsia="仿宋_GB2312" w:cs="仿宋_GB2312"/>
                <w:kern w:val="0"/>
                <w:sz w:val="24"/>
                <w:szCs w:val="24"/>
                <w:lang w:val="en-US" w:eastAsia="zh-CN" w:bidi="ar"/>
              </w:rPr>
              <w:t>负责校园“扫黄打非”宣传教育。</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公安局：</w:t>
            </w:r>
            <w:r>
              <w:rPr>
                <w:rFonts w:hint="eastAsia" w:ascii="仿宋_GB2312" w:hAnsi="仿宋_GB2312" w:eastAsia="仿宋_GB2312" w:cs="仿宋_GB2312"/>
                <w:kern w:val="0"/>
                <w:sz w:val="24"/>
                <w:szCs w:val="24"/>
                <w:lang w:val="en-US" w:eastAsia="zh-CN" w:bidi="ar"/>
              </w:rPr>
              <w:t>负责查处、收缴非法出版物，打击非法出版等违法犯罪行为。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文化体育广电旅游局：</w:t>
            </w:r>
            <w:r>
              <w:rPr>
                <w:rFonts w:hint="eastAsia" w:ascii="仿宋_GB2312" w:hAnsi="仿宋_GB2312" w:eastAsia="仿宋_GB2312" w:cs="仿宋_GB2312"/>
                <w:kern w:val="0"/>
                <w:sz w:val="24"/>
                <w:szCs w:val="24"/>
                <w:lang w:val="en-US" w:eastAsia="zh-CN" w:bidi="ar"/>
              </w:rPr>
              <w:t>负责对文化场所进行日常监管，发现并及时处理违规经营行为。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市场监管局：</w:t>
            </w:r>
            <w:r>
              <w:rPr>
                <w:rFonts w:hint="eastAsia" w:ascii="仿宋_GB2312" w:hAnsi="仿宋_GB2312"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仿宋_GB2312" w:hAnsi="仿宋_GB2312" w:eastAsia="仿宋_GB2312" w:cs="仿宋_GB2312"/>
                <w:kern w:val="0"/>
                <w:sz w:val="24"/>
                <w:szCs w:val="24"/>
                <w:lang w:val="en-US" w:eastAsia="zh-CN" w:bidi="ar"/>
              </w:rPr>
              <w:t>展“扫黄打非”政策知识普及和主题宣传活动；</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仿宋_GB2312" w:hAnsi="仿宋_GB2312"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kern w:val="0"/>
                <w:sz w:val="24"/>
                <w:szCs w:val="24"/>
                <w:lang w:val="en-US" w:eastAsia="zh-CN" w:bidi="ar"/>
              </w:rPr>
              <w:t>等相关情况</w:t>
            </w:r>
            <w:r>
              <w:rPr>
                <w:rFonts w:hint="default" w:ascii="仿宋_GB2312" w:hAnsi="仿宋_GB2312"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仿宋_GB2312" w:hAnsi="仿宋_GB2312"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cantSplit/>
          <w:trHeight w:val="266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开展文物保护监督管理工作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cantSplit/>
          <w:trHeight w:val="212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非物质文化遗产保护传承</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cantSplit/>
          <w:trHeight w:val="65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十二、卫生健康事项类别（</w:t>
            </w:r>
            <w:r>
              <w:rPr>
                <w:rStyle w:val="23"/>
                <w:rFonts w:hint="eastAsia" w:ascii="黑体" w:hAnsi="黑体" w:eastAsia="黑体" w:cs="黑体"/>
                <w:color w:val="auto"/>
                <w:lang w:val="en-US" w:eastAsia="zh-CN" w:bidi="ar"/>
              </w:rPr>
              <w:t>2</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350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开展疾病预防及传染病防控工作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355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7</w:t>
            </w:r>
            <w:r>
              <w:rPr>
                <w:rFonts w:hint="eastAsia" w:eastAsia="仿宋_GB2312" w:cs="Times New Roman"/>
                <w:kern w:val="2"/>
                <w:sz w:val="24"/>
                <w:szCs w:val="24"/>
                <w:lang w:val="en-US" w:eastAsia="zh-CN" w:bidi="ar-SA"/>
              </w:rPr>
              <w:t>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开展卫生监督工作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693"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十三、应急管理及消防事项类别（5项）</w:t>
            </w:r>
          </w:p>
        </w:tc>
      </w:tr>
      <w:tr>
        <w:tblPrEx>
          <w:tblCellMar>
            <w:top w:w="28" w:type="dxa"/>
            <w:left w:w="57" w:type="dxa"/>
            <w:bottom w:w="28" w:type="dxa"/>
            <w:right w:w="57" w:type="dxa"/>
          </w:tblCellMar>
        </w:tblPrEx>
        <w:trPr>
          <w:cantSplit/>
          <w:trHeight w:val="9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lang w:val="en-US"/>
              </w:rPr>
            </w:pPr>
            <w:r>
              <w:rPr>
                <w:rFonts w:hint="eastAsia" w:eastAsia="仿宋_GB2312" w:cs="Times New Roman"/>
                <w:kern w:val="2"/>
                <w:sz w:val="24"/>
                <w:szCs w:val="24"/>
                <w:lang w:val="en-US" w:eastAsia="zh-CN" w:bidi="ar-SA"/>
              </w:rPr>
              <w:t>80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负责灾害发生地区疾病预防控制、医疗救护和卫生监督执法。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cantSplit/>
          <w:trHeight w:val="308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开展安全生产工作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仿宋_GB2312" w:hAnsi="仿宋_GB2312"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cantSplit/>
          <w:trHeight w:val="5533"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开展森林防火灭火工作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cantSplit/>
          <w:trHeight w:val="9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开展消防安全工作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cantSplit/>
          <w:trHeight w:val="406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4</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开展燃气安全排查整治</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cantSplit/>
          <w:trHeight w:val="85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Style w:val="23"/>
                <w:rFonts w:hint="eastAsia" w:ascii="黑体" w:hAnsi="黑体" w:eastAsia="黑体" w:cs="黑体"/>
                <w:color w:val="auto"/>
                <w:lang w:eastAsia="zh-CN" w:bidi="ar"/>
              </w:rPr>
              <w:t>十四、市场监管事项类别（</w:t>
            </w:r>
            <w:r>
              <w:rPr>
                <w:rStyle w:val="23"/>
                <w:rFonts w:hint="eastAsia" w:ascii="黑体" w:hAnsi="黑体" w:eastAsia="黑体" w:cs="黑体"/>
                <w:color w:val="auto"/>
                <w:lang w:val="en-US" w:eastAsia="zh-CN" w:bidi="ar"/>
              </w:rPr>
              <w:t>8</w:t>
            </w:r>
            <w:r>
              <w:rPr>
                <w:rStyle w:val="23"/>
                <w:rFonts w:hint="eastAsia" w:ascii="黑体" w:hAnsi="黑体" w:eastAsia="黑体" w:cs="黑体"/>
                <w:color w:val="auto"/>
                <w:lang w:eastAsia="zh-CN" w:bidi="ar"/>
              </w:rPr>
              <w:t>项）</w:t>
            </w:r>
          </w:p>
        </w:tc>
      </w:tr>
      <w:tr>
        <w:tblPrEx>
          <w:tblCellMar>
            <w:top w:w="28" w:type="dxa"/>
            <w:left w:w="57" w:type="dxa"/>
            <w:bottom w:w="28" w:type="dxa"/>
            <w:right w:w="57" w:type="dxa"/>
          </w:tblCellMar>
        </w:tblPrEx>
        <w:trPr>
          <w:cantSplit/>
          <w:trHeight w:val="569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5</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开展农药、种子、肥料监督管理工作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5185"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6</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开展农产品质量安全监管工作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3649"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7</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开展农贸市场监督管理工作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3405"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8</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开展消费者权益保护工作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cantSplit/>
          <w:trHeight w:val="5276"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8</w:t>
            </w:r>
            <w:r>
              <w:rPr>
                <w:rFonts w:hint="eastAsia" w:eastAsia="仿宋_GB2312" w:cs="Times New Roman"/>
                <w:kern w:val="2"/>
                <w:sz w:val="24"/>
                <w:szCs w:val="24"/>
                <w:lang w:val="en-US" w:eastAsia="zh-CN" w:bidi="ar-SA"/>
              </w:rPr>
              <w:t>9</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开展食品安全监督管理工作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（5）组织镇领导干部对C级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cantSplit/>
          <w:trHeight w:val="665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lang w:val="en-US"/>
              </w:rPr>
            </w:pPr>
            <w:r>
              <w:rPr>
                <w:rFonts w:hint="eastAsia" w:eastAsia="仿宋_GB2312" w:cs="Times New Roman"/>
                <w:kern w:val="2"/>
                <w:sz w:val="24"/>
                <w:szCs w:val="24"/>
                <w:lang w:val="en-US" w:eastAsia="zh-CN" w:bidi="ar-SA"/>
              </w:rPr>
              <w:t>90</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cantSplit/>
          <w:trHeight w:val="3020"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91</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开展传销、违规直销监督管理工作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eastAsia="仿宋_GB2312" w:cs="Times New Roman"/>
                <w:kern w:val="0"/>
                <w:sz w:val="24"/>
                <w:szCs w:val="24"/>
                <w:lang w:val="en-US" w:eastAsia="zh-CN" w:bidi="ar"/>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72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cantSplit/>
          <w:trHeight w:val="2788"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2"/>
                <w:sz w:val="24"/>
                <w:szCs w:val="24"/>
                <w:lang w:val="en-US" w:eastAsia="zh-CN" w:bidi="ar-SA"/>
              </w:rPr>
              <w:t>9</w:t>
            </w:r>
            <w:r>
              <w:rPr>
                <w:rFonts w:hint="eastAsia" w:eastAsia="仿宋_GB2312" w:cs="Times New Roman"/>
                <w:kern w:val="2"/>
                <w:sz w:val="24"/>
                <w:szCs w:val="24"/>
                <w:lang w:val="en-US" w:eastAsia="zh-CN" w:bidi="ar-SA"/>
              </w:rPr>
              <w:t>2</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cantSplit/>
          <w:trHeight w:val="793"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b/>
                <w:bCs/>
                <w:kern w:val="0"/>
                <w:sz w:val="24"/>
                <w:szCs w:val="24"/>
                <w:lang w:val="en-US" w:eastAsia="zh-CN" w:bidi="ar"/>
              </w:rPr>
            </w:pPr>
            <w:r>
              <w:rPr>
                <w:rStyle w:val="23"/>
                <w:rFonts w:hint="eastAsia" w:ascii="黑体" w:hAnsi="黑体" w:eastAsia="黑体" w:cs="黑体"/>
                <w:color w:val="auto"/>
                <w:lang w:eastAsia="zh-CN" w:bidi="ar"/>
              </w:rPr>
              <w:t>十五、投资促进事项类别（1项）</w:t>
            </w:r>
          </w:p>
        </w:tc>
      </w:tr>
      <w:tr>
        <w:tblPrEx>
          <w:tblCellMar>
            <w:top w:w="28" w:type="dxa"/>
            <w:left w:w="57" w:type="dxa"/>
            <w:bottom w:w="28" w:type="dxa"/>
            <w:right w:w="57" w:type="dxa"/>
          </w:tblCellMar>
        </w:tblPrEx>
        <w:trPr>
          <w:cantSplit/>
          <w:trHeight w:val="2327" w:hRule="atLeast"/>
          <w:jc w:val="center"/>
        </w:trPr>
        <w:tc>
          <w:tcPr>
            <w:tcW w:w="155"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93</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做好招商引资工作</w:t>
            </w:r>
          </w:p>
        </w:tc>
        <w:tc>
          <w:tcPr>
            <w:tcW w:w="5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17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8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tbl>
    <w:p>
      <w:pPr>
        <w:rPr>
          <w:rFonts w:hint="eastAsia"/>
        </w:rPr>
      </w:pPr>
      <w:bookmarkStart w:id="2" w:name="_Toc256000003"/>
      <w:r>
        <w:rPr>
          <w:rFonts w:hint="eastAsia"/>
        </w:rPr>
        <w:br w:type="page"/>
      </w:r>
    </w:p>
    <w:bookmarkEnd w:id="2"/>
    <w:p>
      <w:pPr>
        <w:pStyle w:val="4"/>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4"/>
        <w:gridCol w:w="12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rPr>
          <w:rFonts w:hint="eastAsia" w:ascii="方正仿宋_GBK" w:hAnsi="宋体"/>
        </w:rPr>
      </w:pPr>
    </w:p>
    <w:sectPr>
      <w:footerReference r:id="rId4" w:type="default"/>
      <w:pgSz w:w="23814" w:h="16840" w:orient="landscape"/>
      <w:pgMar w:top="1701" w:right="1417" w:bottom="1417" w:left="1417" w:header="851" w:footer="851" w:gutter="0"/>
      <w:pgNumType w:fmt="decimal" w:start="1"/>
      <w:cols w:space="720" w:num="1"/>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C8B29B-D4F7-4AE1-8EDD-14E12EF0A14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975320EF-1C5B-48B3-BCAB-24232EA5A759}"/>
  </w:font>
  <w:font w:name="方正仿宋_GBK">
    <w:panose1 w:val="03000509000000000000"/>
    <w:charset w:val="86"/>
    <w:family w:val="script"/>
    <w:pitch w:val="default"/>
    <w:sig w:usb0="00000001" w:usb1="080E0000" w:usb2="00000000" w:usb3="00000000" w:csb0="00040000" w:csb1="00000000"/>
    <w:embedRegular r:id="rId3" w:fontKey="{8523AAEA-B8AA-4945-9C4E-666FE8B65D18}"/>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公文仿宋">
    <w:altName w:val="仿宋"/>
    <w:panose1 w:val="02000500000000000000"/>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9E072336-7AEB-447C-B470-65742B7776CD}"/>
  </w:font>
  <w:font w:name="方正书宋_GBK">
    <w:altName w:val="微软雅黑"/>
    <w:panose1 w:val="03000509000000000000"/>
    <w:charset w:val="86"/>
    <w:family w:val="script"/>
    <w:pitch w:val="default"/>
    <w:sig w:usb0="00000000" w:usb1="00000000" w:usb2="00000000" w:usb3="00000000" w:csb0="00040000" w:csb1="00000000"/>
    <w:embedRegular r:id="rId5" w:fontKey="{5CEFE33D-970B-424E-8A96-D77594F96773}"/>
  </w:font>
  <w:font w:name="方正小标宋简体">
    <w:panose1 w:val="03000509000000000000"/>
    <w:charset w:val="86"/>
    <w:family w:val="script"/>
    <w:pitch w:val="default"/>
    <w:sig w:usb0="00000001" w:usb1="080E0000" w:usb2="00000000" w:usb3="00000000" w:csb0="00040000" w:csb1="00000000"/>
    <w:embedRegular r:id="rId6" w:fontKey="{77DFA5CB-EF07-4A5C-8BA3-69495C27C9A6}"/>
  </w:font>
  <w:font w:name="方正小标宋_GBK">
    <w:panose1 w:val="03000509000000000000"/>
    <w:charset w:val="86"/>
    <w:family w:val="script"/>
    <w:pitch w:val="default"/>
    <w:sig w:usb0="00000001" w:usb1="080E0000" w:usb2="00000000" w:usb3="00000000" w:csb0="00040000" w:csb1="00000000"/>
    <w:embedRegular r:id="rId7" w:fontKey="{176E8C51-72B7-4941-9D08-BCB09B0EE0DB}"/>
  </w:font>
  <w:font w:name="方正黑体_GBK">
    <w:panose1 w:val="03000509000000000000"/>
    <w:charset w:val="86"/>
    <w:family w:val="script"/>
    <w:pitch w:val="default"/>
    <w:sig w:usb0="00000001" w:usb1="080E0000" w:usb2="00000000" w:usb3="00000000" w:csb0="00040000" w:csb1="00000000"/>
    <w:embedRegular r:id="rId8" w:fontKey="{BC4F109E-45F4-4163-A1F7-6FFF14821DE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JiNDFhYmRiMmRkMzgyMWJlYmQyYjRlMDdlNWI4MWQifQ=="/>
    <w:docVar w:name="KSO_WPS_MARK_KEY" w:val="0dc4e788-36fa-49eb-a82f-9e46cb61a753"/>
  </w:docVars>
  <w:rsids>
    <w:rsidRoot w:val="00000000"/>
    <w:rsid w:val="000C5237"/>
    <w:rsid w:val="01895EFF"/>
    <w:rsid w:val="022854D4"/>
    <w:rsid w:val="02925943"/>
    <w:rsid w:val="03BC1160"/>
    <w:rsid w:val="045A3333"/>
    <w:rsid w:val="07591FC8"/>
    <w:rsid w:val="08DF02AB"/>
    <w:rsid w:val="09473A6A"/>
    <w:rsid w:val="09A60DC8"/>
    <w:rsid w:val="09C93488"/>
    <w:rsid w:val="0A152CF7"/>
    <w:rsid w:val="0CBC1DD3"/>
    <w:rsid w:val="0CD45AF7"/>
    <w:rsid w:val="0DEA226B"/>
    <w:rsid w:val="0E8B37C6"/>
    <w:rsid w:val="0F4F1033"/>
    <w:rsid w:val="10300B8B"/>
    <w:rsid w:val="106775FB"/>
    <w:rsid w:val="106F6695"/>
    <w:rsid w:val="108C6F6A"/>
    <w:rsid w:val="116307ED"/>
    <w:rsid w:val="147D39AB"/>
    <w:rsid w:val="15187CAA"/>
    <w:rsid w:val="174B193F"/>
    <w:rsid w:val="189F3152"/>
    <w:rsid w:val="190A203B"/>
    <w:rsid w:val="197C38F4"/>
    <w:rsid w:val="19A86CD5"/>
    <w:rsid w:val="1A8B5CC8"/>
    <w:rsid w:val="1C2909DE"/>
    <w:rsid w:val="1C3B69BC"/>
    <w:rsid w:val="1CCF22EA"/>
    <w:rsid w:val="1DD00E98"/>
    <w:rsid w:val="1E326C77"/>
    <w:rsid w:val="1E3429EF"/>
    <w:rsid w:val="1EB63371"/>
    <w:rsid w:val="1FC551B5"/>
    <w:rsid w:val="1FF93C97"/>
    <w:rsid w:val="21997D2C"/>
    <w:rsid w:val="229828D5"/>
    <w:rsid w:val="251120AD"/>
    <w:rsid w:val="270A09CA"/>
    <w:rsid w:val="28EA2F04"/>
    <w:rsid w:val="296B1757"/>
    <w:rsid w:val="29727EBF"/>
    <w:rsid w:val="29E558DE"/>
    <w:rsid w:val="2A2A5E2A"/>
    <w:rsid w:val="2B085576"/>
    <w:rsid w:val="2C4B36EC"/>
    <w:rsid w:val="2C5E396F"/>
    <w:rsid w:val="2F3762A9"/>
    <w:rsid w:val="30FE52A7"/>
    <w:rsid w:val="31533DDB"/>
    <w:rsid w:val="337B18B9"/>
    <w:rsid w:val="33CA61A2"/>
    <w:rsid w:val="352172C5"/>
    <w:rsid w:val="357D7550"/>
    <w:rsid w:val="359F0DCD"/>
    <w:rsid w:val="35D43FE9"/>
    <w:rsid w:val="360E0A21"/>
    <w:rsid w:val="36F82079"/>
    <w:rsid w:val="377E1194"/>
    <w:rsid w:val="3AB515D6"/>
    <w:rsid w:val="3AD523CB"/>
    <w:rsid w:val="3AF0057D"/>
    <w:rsid w:val="3B6F4D64"/>
    <w:rsid w:val="3BC16A92"/>
    <w:rsid w:val="3C234541"/>
    <w:rsid w:val="3C307CDC"/>
    <w:rsid w:val="3D243AFF"/>
    <w:rsid w:val="3EF464D5"/>
    <w:rsid w:val="41E6115E"/>
    <w:rsid w:val="438D3534"/>
    <w:rsid w:val="439543C4"/>
    <w:rsid w:val="439F4D5E"/>
    <w:rsid w:val="43B34034"/>
    <w:rsid w:val="44191BBB"/>
    <w:rsid w:val="45256299"/>
    <w:rsid w:val="485110E9"/>
    <w:rsid w:val="4A040D5F"/>
    <w:rsid w:val="4B7E36FC"/>
    <w:rsid w:val="4C5702E4"/>
    <w:rsid w:val="4DDF3E76"/>
    <w:rsid w:val="4E1A0600"/>
    <w:rsid w:val="4FB20F38"/>
    <w:rsid w:val="51EC5D04"/>
    <w:rsid w:val="53DD4FF9"/>
    <w:rsid w:val="56256ED4"/>
    <w:rsid w:val="573745DD"/>
    <w:rsid w:val="59637CE4"/>
    <w:rsid w:val="5A4E1DCF"/>
    <w:rsid w:val="5B8662C2"/>
    <w:rsid w:val="5BC56382"/>
    <w:rsid w:val="5C484871"/>
    <w:rsid w:val="5DEC1E56"/>
    <w:rsid w:val="5EBB1299"/>
    <w:rsid w:val="5ED2777C"/>
    <w:rsid w:val="5FA371BC"/>
    <w:rsid w:val="601C4EF0"/>
    <w:rsid w:val="618B43BF"/>
    <w:rsid w:val="6211652C"/>
    <w:rsid w:val="626949B2"/>
    <w:rsid w:val="64552344"/>
    <w:rsid w:val="655B58C8"/>
    <w:rsid w:val="65F20792"/>
    <w:rsid w:val="66DD1964"/>
    <w:rsid w:val="684D3255"/>
    <w:rsid w:val="6A0E46E2"/>
    <w:rsid w:val="6BBB5FAB"/>
    <w:rsid w:val="6D070DFA"/>
    <w:rsid w:val="6F7C5620"/>
    <w:rsid w:val="6F8C4759"/>
    <w:rsid w:val="6FFB46A6"/>
    <w:rsid w:val="70194851"/>
    <w:rsid w:val="70606C0C"/>
    <w:rsid w:val="711772FF"/>
    <w:rsid w:val="727E4DF4"/>
    <w:rsid w:val="74B8194F"/>
    <w:rsid w:val="74FD29D1"/>
    <w:rsid w:val="75662A8E"/>
    <w:rsid w:val="76321B15"/>
    <w:rsid w:val="778C20E9"/>
    <w:rsid w:val="7C240B22"/>
    <w:rsid w:val="7CA577B3"/>
    <w:rsid w:val="7CB43CA8"/>
    <w:rsid w:val="7CD73DE6"/>
    <w:rsid w:val="7E196EF9"/>
    <w:rsid w:val="7E7D6700"/>
    <w:rsid w:val="7F9A3D72"/>
    <w:rsid w:val="7FF779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24"/>
      <w:szCs w:val="24"/>
      <w:lang w:val="zh-CN" w:bidi="zh-CN"/>
    </w:rPr>
  </w:style>
  <w:style w:type="paragraph" w:styleId="3">
    <w:name w:val="Title"/>
    <w:basedOn w:val="1"/>
    <w:next w:val="1"/>
    <w:qFormat/>
    <w:uiPriority w:val="0"/>
    <w:pPr>
      <w:spacing w:before="240" w:after="60"/>
      <w:jc w:val="center"/>
      <w:outlineLvl w:val="0"/>
    </w:pPr>
    <w:rPr>
      <w:rFonts w:ascii="Cambria" w:hAnsi="Cambria" w:eastAsia="宋体"/>
      <w:b/>
      <w:bCs/>
      <w:szCs w:val="32"/>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4"/>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72</Pages>
  <Words>55183</Words>
  <Characters>55913</Characters>
  <Lines>1552</Lines>
  <Paragraphs>437</Paragraphs>
  <TotalTime>4</TotalTime>
  <ScaleCrop>false</ScaleCrop>
  <LinksUpToDate>false</LinksUpToDate>
  <CharactersWithSpaces>60836</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2025-03-11T23:29:00Z</cp:lastPrinted>
  <dcterms:modified xsi:type="dcterms:W3CDTF">2025-07-30T10:15:55Z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E5A4D9F0E5FE449FA55BFDB5BA326EC1</vt:lpwstr>
  </property>
  <property fmtid="{D5CDD505-2E9C-101B-9397-08002B2CF9AE}" pid="3" name="KSOProductBuildVer">
    <vt:lpwstr>2052-11.8.2.10154</vt:lpwstr>
  </property>
  <property fmtid="{D5CDD505-2E9C-101B-9397-08002B2CF9AE}" pid="4" name="KSOTemplateDocerSaveRecord">
    <vt:lpwstr>eyJoZGlkIjoiODE3Yzc1ZWI3ZDVmN2EzNmU4ODMzMTdiYzJjZjlmMTAiLCJ1c2VySWQiOiIzNzkzMjQ3MDEifQ==</vt:lpwstr>
  </property>
</Properties>
</file>